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94D" w:rsidRDefault="00275514" w:rsidP="0063194D">
      <w:pPr>
        <w:jc w:val="right"/>
        <w:rPr>
          <w:rFonts w:eastAsiaTheme="minorHAnsi"/>
        </w:rPr>
      </w:pPr>
      <w:r>
        <w:rPr>
          <w:rFonts w:eastAsiaTheme="minorHAnsi"/>
        </w:rPr>
        <w:tab/>
      </w:r>
      <w:r w:rsidR="0063194D">
        <w:rPr>
          <w:rFonts w:eastAsiaTheme="minorHAnsi"/>
        </w:rPr>
        <w:t>Приложение</w:t>
      </w:r>
    </w:p>
    <w:p w:rsidR="0063194D" w:rsidRDefault="0063194D" w:rsidP="0063194D">
      <w:pPr>
        <w:jc w:val="right"/>
        <w:rPr>
          <w:rFonts w:eastAsiaTheme="minorHAnsi"/>
        </w:rPr>
      </w:pPr>
      <w:r>
        <w:rPr>
          <w:rFonts w:eastAsiaTheme="minorHAnsi"/>
        </w:rPr>
        <w:t>к Постановлению</w:t>
      </w:r>
    </w:p>
    <w:p w:rsidR="0063194D" w:rsidRDefault="0063194D" w:rsidP="0063194D">
      <w:pPr>
        <w:jc w:val="right"/>
        <w:rPr>
          <w:rFonts w:eastAsiaTheme="minorHAnsi"/>
        </w:rPr>
      </w:pPr>
      <w:r>
        <w:rPr>
          <w:rFonts w:eastAsiaTheme="minorHAnsi"/>
        </w:rPr>
        <w:t>министерства культуры и</w:t>
      </w:r>
    </w:p>
    <w:p w:rsidR="0063194D" w:rsidRDefault="0063194D" w:rsidP="0063194D">
      <w:pPr>
        <w:jc w:val="right"/>
        <w:rPr>
          <w:rFonts w:eastAsiaTheme="minorHAnsi"/>
        </w:rPr>
      </w:pPr>
      <w:r>
        <w:rPr>
          <w:rFonts w:eastAsiaTheme="minorHAnsi"/>
        </w:rPr>
        <w:t>туризма Рязанской области</w:t>
      </w:r>
    </w:p>
    <w:p w:rsidR="0063194D" w:rsidRDefault="0063194D" w:rsidP="0063194D">
      <w:pPr>
        <w:jc w:val="right"/>
        <w:rPr>
          <w:rFonts w:eastAsiaTheme="minorHAnsi"/>
        </w:rPr>
      </w:pPr>
      <w:r>
        <w:rPr>
          <w:rFonts w:eastAsiaTheme="minorHAnsi"/>
        </w:rPr>
        <w:t>от «___»____________20__г.</w:t>
      </w:r>
    </w:p>
    <w:p w:rsidR="00275514" w:rsidRPr="001B55DB" w:rsidRDefault="00275514" w:rsidP="0055044A">
      <w:pPr>
        <w:tabs>
          <w:tab w:val="left" w:pos="7588"/>
        </w:tabs>
        <w:rPr>
          <w:color w:val="auto"/>
          <w:sz w:val="22"/>
          <w:szCs w:val="22"/>
        </w:rPr>
      </w:pPr>
    </w:p>
    <w:p w:rsidR="0063194D" w:rsidRDefault="0063194D" w:rsidP="00275514">
      <w:pPr>
        <w:widowControl w:val="0"/>
        <w:autoSpaceDE w:val="0"/>
        <w:autoSpaceDN w:val="0"/>
        <w:jc w:val="center"/>
        <w:rPr>
          <w:color w:val="auto"/>
          <w:sz w:val="22"/>
          <w:szCs w:val="22"/>
        </w:rPr>
      </w:pPr>
    </w:p>
    <w:p w:rsidR="0063194D" w:rsidRDefault="0063194D" w:rsidP="00275514">
      <w:pPr>
        <w:widowControl w:val="0"/>
        <w:autoSpaceDE w:val="0"/>
        <w:autoSpaceDN w:val="0"/>
        <w:jc w:val="center"/>
        <w:rPr>
          <w:color w:val="auto"/>
          <w:sz w:val="22"/>
          <w:szCs w:val="22"/>
        </w:rPr>
      </w:pPr>
    </w:p>
    <w:p w:rsidR="0063194D" w:rsidRDefault="0063194D" w:rsidP="00275514">
      <w:pPr>
        <w:widowControl w:val="0"/>
        <w:autoSpaceDE w:val="0"/>
        <w:autoSpaceDN w:val="0"/>
        <w:jc w:val="center"/>
        <w:rPr>
          <w:color w:val="auto"/>
          <w:sz w:val="22"/>
          <w:szCs w:val="22"/>
        </w:rPr>
      </w:pPr>
    </w:p>
    <w:p w:rsidR="00275514" w:rsidRPr="00DC4B2E" w:rsidRDefault="0063194D" w:rsidP="00275514">
      <w:pPr>
        <w:widowControl w:val="0"/>
        <w:autoSpaceDE w:val="0"/>
        <w:autoSpaceDN w:val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«</w:t>
      </w:r>
      <w:r w:rsidR="00275514" w:rsidRPr="00DC4B2E">
        <w:rPr>
          <w:color w:val="auto"/>
          <w:sz w:val="22"/>
          <w:szCs w:val="22"/>
        </w:rPr>
        <w:t>Раздел 1. Поступления и выплаты</w:t>
      </w:r>
    </w:p>
    <w:p w:rsidR="00275514" w:rsidRPr="00DC4B2E" w:rsidRDefault="00275514" w:rsidP="00275514">
      <w:pPr>
        <w:widowControl w:val="0"/>
        <w:autoSpaceDE w:val="0"/>
        <w:autoSpaceDN w:val="0"/>
        <w:jc w:val="center"/>
        <w:rPr>
          <w:color w:val="auto"/>
          <w:sz w:val="22"/>
          <w:szCs w:val="22"/>
        </w:rPr>
      </w:pPr>
    </w:p>
    <w:tbl>
      <w:tblPr>
        <w:tblW w:w="15309" w:type="dxa"/>
        <w:tblInd w:w="-505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850"/>
        <w:gridCol w:w="993"/>
        <w:gridCol w:w="708"/>
        <w:gridCol w:w="1418"/>
        <w:gridCol w:w="1417"/>
        <w:gridCol w:w="1276"/>
        <w:gridCol w:w="1418"/>
        <w:gridCol w:w="1134"/>
        <w:gridCol w:w="1134"/>
        <w:gridCol w:w="708"/>
      </w:tblGrid>
      <w:tr w:rsidR="00275514" w:rsidRPr="00DC4B2E" w:rsidTr="005176AA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Код строки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275514" w:rsidRPr="00FC6D56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 xml:space="preserve">Код по бюджетной классификации Российской Федерации </w:t>
            </w:r>
            <w:r w:rsidRPr="00FC6D56">
              <w:rPr>
                <w:color w:val="auto"/>
                <w:sz w:val="22"/>
                <w:szCs w:val="22"/>
              </w:rPr>
              <w:t>&lt;3&gt;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275514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Аналитический код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&lt;4&gt;</w:t>
            </w:r>
            <w:r w:rsidRPr="00DC4B2E">
              <w:rPr>
                <w:color w:val="auto"/>
                <w:sz w:val="22"/>
                <w:szCs w:val="22"/>
              </w:rPr>
              <w:t xml:space="preserve"> </w:t>
            </w:r>
          </w:p>
          <w:p w:rsidR="00275514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Сумма</w:t>
            </w:r>
            <w:r>
              <w:rPr>
                <w:color w:val="auto"/>
                <w:sz w:val="22"/>
                <w:szCs w:val="22"/>
              </w:rPr>
              <w:t>, руб.</w:t>
            </w:r>
          </w:p>
        </w:tc>
      </w:tr>
      <w:tr w:rsidR="00275514" w:rsidRPr="00DC4B2E" w:rsidTr="005176AA">
        <w:tc>
          <w:tcPr>
            <w:tcW w:w="4253" w:type="dxa"/>
            <w:vMerge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spacing w:after="200" w:line="276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</w:tcPr>
          <w:p w:rsidR="00275514" w:rsidRPr="00DC4B2E" w:rsidRDefault="00275514" w:rsidP="005176AA">
            <w:pPr>
              <w:spacing w:after="200" w:line="276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</w:tcPr>
          <w:p w:rsidR="00275514" w:rsidRPr="00DC4B2E" w:rsidRDefault="00275514" w:rsidP="005176AA">
            <w:pPr>
              <w:spacing w:after="200" w:line="276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</w:tcPr>
          <w:p w:rsidR="00275514" w:rsidRPr="00DC4B2E" w:rsidRDefault="00275514" w:rsidP="005176AA">
            <w:pPr>
              <w:spacing w:after="200" w:line="276" w:lineRule="auto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4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на 20__ г. текущий финансовый год</w:t>
            </w:r>
          </w:p>
        </w:tc>
        <w:tc>
          <w:tcPr>
            <w:tcW w:w="1134" w:type="dxa"/>
            <w:vMerge w:val="restart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 xml:space="preserve">на 20__ г. первый год </w:t>
            </w:r>
            <w:proofErr w:type="gramStart"/>
            <w:r w:rsidRPr="00DC4B2E">
              <w:rPr>
                <w:color w:val="auto"/>
                <w:sz w:val="22"/>
                <w:szCs w:val="22"/>
              </w:rPr>
              <w:t>планового</w:t>
            </w:r>
            <w:proofErr w:type="gramEnd"/>
            <w:r w:rsidRPr="00DC4B2E">
              <w:rPr>
                <w:color w:val="auto"/>
                <w:sz w:val="22"/>
                <w:szCs w:val="22"/>
              </w:rPr>
              <w:t xml:space="preserve"> </w:t>
            </w:r>
          </w:p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периода</w:t>
            </w:r>
          </w:p>
        </w:tc>
        <w:tc>
          <w:tcPr>
            <w:tcW w:w="1134" w:type="dxa"/>
            <w:vMerge w:val="restart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 xml:space="preserve">на 20__ г. второй год </w:t>
            </w:r>
            <w:proofErr w:type="gramStart"/>
            <w:r w:rsidRPr="00DC4B2E">
              <w:rPr>
                <w:color w:val="auto"/>
                <w:sz w:val="22"/>
                <w:szCs w:val="22"/>
              </w:rPr>
              <w:t>планового</w:t>
            </w:r>
            <w:proofErr w:type="gramEnd"/>
            <w:r w:rsidRPr="00DC4B2E">
              <w:rPr>
                <w:color w:val="auto"/>
                <w:sz w:val="22"/>
                <w:szCs w:val="22"/>
              </w:rPr>
              <w:t xml:space="preserve"> </w:t>
            </w:r>
          </w:p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периода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 xml:space="preserve">за пределами </w:t>
            </w:r>
            <w:proofErr w:type="gramStart"/>
            <w:r w:rsidRPr="00DC4B2E">
              <w:rPr>
                <w:color w:val="auto"/>
                <w:sz w:val="22"/>
                <w:szCs w:val="22"/>
              </w:rPr>
              <w:t>планового</w:t>
            </w:r>
            <w:proofErr w:type="gramEnd"/>
            <w:r w:rsidRPr="00DC4B2E">
              <w:rPr>
                <w:color w:val="auto"/>
                <w:sz w:val="22"/>
                <w:szCs w:val="22"/>
              </w:rPr>
              <w:t xml:space="preserve"> </w:t>
            </w:r>
          </w:p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периода</w:t>
            </w:r>
          </w:p>
        </w:tc>
      </w:tr>
      <w:tr w:rsidR="00275514" w:rsidRPr="00DC4B2E" w:rsidTr="005176AA">
        <w:tc>
          <w:tcPr>
            <w:tcW w:w="4253" w:type="dxa"/>
            <w:vMerge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75514" w:rsidRPr="00293AA6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93AA6">
              <w:rPr>
                <w:sz w:val="22"/>
                <w:szCs w:val="22"/>
              </w:rPr>
              <w:t xml:space="preserve">убсидии на финансовое обеспечение выполнения государственного задания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75514" w:rsidRPr="00293AA6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93AA6">
              <w:rPr>
                <w:sz w:val="22"/>
                <w:szCs w:val="22"/>
              </w:rPr>
              <w:t xml:space="preserve">убсидии, предоставляемые в соответствии </w:t>
            </w:r>
            <w:r w:rsidRPr="0019109E">
              <w:rPr>
                <w:color w:val="auto"/>
                <w:sz w:val="22"/>
                <w:szCs w:val="22"/>
              </w:rPr>
              <w:t xml:space="preserve">с </w:t>
            </w:r>
            <w:hyperlink r:id="rId7" w:history="1">
              <w:r w:rsidRPr="0019109E">
                <w:rPr>
                  <w:color w:val="auto"/>
                  <w:sz w:val="22"/>
                  <w:szCs w:val="22"/>
                </w:rPr>
                <w:t>абзацем вторым пункта 1 статьи 78.1</w:t>
              </w:r>
            </w:hyperlink>
            <w:r w:rsidRPr="00293AA6">
              <w:rPr>
                <w:sz w:val="22"/>
                <w:szCs w:val="22"/>
              </w:rPr>
              <w:t xml:space="preserve"> Бюджетного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75514" w:rsidRPr="00293AA6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93AA6">
              <w:rPr>
                <w:sz w:val="22"/>
                <w:szCs w:val="22"/>
              </w:rPr>
              <w:t>убсидии на осуществление капитальных вложений</w:t>
            </w: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CE594F">
              <w:rPr>
                <w:sz w:val="22"/>
                <w:szCs w:val="22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  <w:tc>
          <w:tcPr>
            <w:tcW w:w="1134" w:type="dxa"/>
            <w:vMerge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bookmarkStart w:id="0" w:name="P252"/>
            <w:bookmarkEnd w:id="0"/>
            <w:r w:rsidRPr="00DC4B2E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bookmarkStart w:id="1" w:name="P253"/>
            <w:bookmarkEnd w:id="1"/>
            <w:r w:rsidRPr="00DC4B2E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275514" w:rsidRDefault="0055044A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275514" w:rsidRPr="00DC4B2E" w:rsidRDefault="0055044A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275514" w:rsidRPr="00DC4B2E" w:rsidRDefault="0055044A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75514" w:rsidRPr="00DC4B2E" w:rsidRDefault="00275514" w:rsidP="0055044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55044A">
              <w:rPr>
                <w:color w:val="auto"/>
                <w:sz w:val="22"/>
                <w:szCs w:val="22"/>
              </w:rPr>
              <w:t>1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FC6D56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 xml:space="preserve">Остаток средств на начало текущего финансового года </w:t>
            </w:r>
            <w:r w:rsidRPr="00FC6D56">
              <w:rPr>
                <w:color w:val="auto"/>
                <w:sz w:val="22"/>
                <w:szCs w:val="22"/>
              </w:rPr>
              <w:t>&lt;5&gt;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bookmarkStart w:id="2" w:name="P259"/>
            <w:bookmarkEnd w:id="2"/>
            <w:r w:rsidRPr="00DC4B2E">
              <w:rPr>
                <w:color w:val="auto"/>
                <w:sz w:val="22"/>
                <w:szCs w:val="22"/>
              </w:rPr>
              <w:t>0001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FC6D56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 xml:space="preserve">Остаток средств на конец текущего финансового года </w:t>
            </w:r>
            <w:r w:rsidRPr="00FC6D56">
              <w:rPr>
                <w:color w:val="auto"/>
                <w:sz w:val="22"/>
                <w:szCs w:val="22"/>
              </w:rPr>
              <w:t>&lt;5&gt;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bookmarkStart w:id="3" w:name="P267"/>
            <w:bookmarkEnd w:id="3"/>
            <w:r w:rsidRPr="00DC4B2E">
              <w:rPr>
                <w:color w:val="auto"/>
                <w:sz w:val="22"/>
                <w:szCs w:val="22"/>
              </w:rPr>
              <w:t>0002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Доходы, всего: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1000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284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в том числе:</w:t>
            </w:r>
          </w:p>
          <w:p w:rsidR="00275514" w:rsidRPr="00DC4B2E" w:rsidRDefault="00275514" w:rsidP="005176AA">
            <w:pPr>
              <w:widowControl w:val="0"/>
              <w:autoSpaceDE w:val="0"/>
              <w:autoSpaceDN w:val="0"/>
              <w:ind w:left="284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доходы от собственности, всего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bookmarkStart w:id="4" w:name="P284"/>
            <w:bookmarkEnd w:id="4"/>
            <w:r w:rsidRPr="00DC4B2E">
              <w:rPr>
                <w:color w:val="auto"/>
                <w:sz w:val="22"/>
                <w:szCs w:val="22"/>
              </w:rPr>
              <w:t>1100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120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lastRenderedPageBreak/>
              <w:t>в том числе:</w:t>
            </w:r>
          </w:p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1110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284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1200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130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в том числе:</w:t>
            </w:r>
          </w:p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1210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130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1220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130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284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1300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140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в том числе:</w:t>
            </w:r>
          </w:p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1310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140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284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безвозмездные денежные поступления, всего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1400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150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в том числе:</w:t>
            </w:r>
          </w:p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4E483B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целевые субсидии</w:t>
            </w:r>
          </w:p>
        </w:tc>
        <w:tc>
          <w:tcPr>
            <w:tcW w:w="850" w:type="dxa"/>
            <w:vAlign w:val="bottom"/>
          </w:tcPr>
          <w:p w:rsidR="004E483B" w:rsidRPr="00DC4B2E" w:rsidRDefault="004E483B" w:rsidP="004E483B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1410</w:t>
            </w:r>
          </w:p>
        </w:tc>
        <w:tc>
          <w:tcPr>
            <w:tcW w:w="993" w:type="dxa"/>
            <w:vAlign w:val="bottom"/>
          </w:tcPr>
          <w:p w:rsidR="004E483B" w:rsidRPr="00DC4B2E" w:rsidRDefault="004E483B" w:rsidP="004E483B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150</w:t>
            </w:r>
          </w:p>
        </w:tc>
        <w:tc>
          <w:tcPr>
            <w:tcW w:w="708" w:type="dxa"/>
            <w:vAlign w:val="bottom"/>
          </w:tcPr>
          <w:p w:rsidR="004E483B" w:rsidRPr="00DC4B2E" w:rsidRDefault="004E483B" w:rsidP="004E483B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4E483B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субсидии на осуществление капитальных вложений</w:t>
            </w:r>
          </w:p>
        </w:tc>
        <w:tc>
          <w:tcPr>
            <w:tcW w:w="850" w:type="dxa"/>
            <w:vAlign w:val="bottom"/>
          </w:tcPr>
          <w:p w:rsidR="004E483B" w:rsidRPr="00DC4B2E" w:rsidRDefault="004E483B" w:rsidP="004E483B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1420</w:t>
            </w:r>
          </w:p>
        </w:tc>
        <w:tc>
          <w:tcPr>
            <w:tcW w:w="993" w:type="dxa"/>
            <w:vAlign w:val="bottom"/>
          </w:tcPr>
          <w:p w:rsidR="004E483B" w:rsidRPr="00DC4B2E" w:rsidRDefault="004E483B" w:rsidP="004E483B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150</w:t>
            </w:r>
          </w:p>
        </w:tc>
        <w:tc>
          <w:tcPr>
            <w:tcW w:w="708" w:type="dxa"/>
            <w:vAlign w:val="bottom"/>
          </w:tcPr>
          <w:p w:rsidR="004E483B" w:rsidRPr="00DC4B2E" w:rsidRDefault="004E483B" w:rsidP="004E483B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4E483B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4E483B" w:rsidRPr="00DC4B2E" w:rsidRDefault="004E483B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284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lastRenderedPageBreak/>
              <w:t>прочие доходы, всего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1500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180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в том числе:</w:t>
            </w:r>
          </w:p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1510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180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284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доходы от операций с активами, всего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bookmarkStart w:id="5" w:name="P401"/>
            <w:bookmarkEnd w:id="5"/>
            <w:r w:rsidRPr="00DC4B2E">
              <w:rPr>
                <w:color w:val="auto"/>
                <w:sz w:val="22"/>
                <w:szCs w:val="22"/>
              </w:rPr>
              <w:t>1900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в том числе:</w:t>
            </w:r>
          </w:p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FC6D56" w:rsidRDefault="00275514" w:rsidP="005176AA">
            <w:pPr>
              <w:widowControl w:val="0"/>
              <w:autoSpaceDE w:val="0"/>
              <w:autoSpaceDN w:val="0"/>
              <w:ind w:left="284"/>
              <w:rPr>
                <w:color w:val="auto"/>
                <w:sz w:val="22"/>
                <w:szCs w:val="22"/>
                <w:lang w:val="en-US"/>
              </w:rPr>
            </w:pPr>
            <w:r w:rsidRPr="00DC4B2E">
              <w:rPr>
                <w:color w:val="auto"/>
                <w:sz w:val="22"/>
                <w:szCs w:val="22"/>
              </w:rPr>
              <w:t xml:space="preserve">прочие поступления, всего </w:t>
            </w:r>
            <w:r>
              <w:rPr>
                <w:color w:val="auto"/>
                <w:sz w:val="22"/>
                <w:szCs w:val="22"/>
                <w:lang w:val="en-US"/>
              </w:rPr>
              <w:t>&lt;6&gt;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bookmarkStart w:id="6" w:name="P426"/>
            <w:bookmarkEnd w:id="6"/>
            <w:r w:rsidRPr="00DC4B2E">
              <w:rPr>
                <w:color w:val="auto"/>
                <w:sz w:val="22"/>
                <w:szCs w:val="22"/>
              </w:rPr>
              <w:t>1980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из них:</w:t>
            </w:r>
          </w:p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1981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510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Расходы, всего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bookmarkStart w:id="7" w:name="P451"/>
            <w:bookmarkEnd w:id="7"/>
            <w:r w:rsidRPr="00DC4B2E">
              <w:rPr>
                <w:color w:val="auto"/>
                <w:sz w:val="22"/>
                <w:szCs w:val="22"/>
              </w:rPr>
              <w:t>2000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284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в том числе:</w:t>
            </w:r>
          </w:p>
          <w:p w:rsidR="00275514" w:rsidRPr="00DC4B2E" w:rsidRDefault="00275514" w:rsidP="005176AA">
            <w:pPr>
              <w:widowControl w:val="0"/>
              <w:autoSpaceDE w:val="0"/>
              <w:autoSpaceDN w:val="0"/>
              <w:ind w:left="284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на выплаты персоналу, всего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2100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в том числе:</w:t>
            </w:r>
          </w:p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оплата труда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2110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111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2120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112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2130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113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 xml:space="preserve">взносы по обязательному социальному страхованию на выплаты по оплате труда работников </w:t>
            </w:r>
            <w:r w:rsidRPr="00DC4B2E">
              <w:rPr>
                <w:color w:val="auto"/>
                <w:sz w:val="22"/>
                <w:szCs w:val="22"/>
              </w:rPr>
              <w:lastRenderedPageBreak/>
              <w:t>и иные выплаты работникам учреждений, всего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lastRenderedPageBreak/>
              <w:t>2140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119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850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lastRenderedPageBreak/>
              <w:t>в том числе:</w:t>
            </w:r>
          </w:p>
          <w:p w:rsidR="00275514" w:rsidRPr="00DC4B2E" w:rsidRDefault="00275514" w:rsidP="005176AA">
            <w:pPr>
              <w:widowControl w:val="0"/>
              <w:autoSpaceDE w:val="0"/>
              <w:autoSpaceDN w:val="0"/>
              <w:ind w:left="850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на выплаты по оплате труда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2141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119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850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на иные выплаты работникам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2142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119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2150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131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2160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134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2170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139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850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в том числе:</w:t>
            </w:r>
          </w:p>
          <w:p w:rsidR="00275514" w:rsidRPr="00DC4B2E" w:rsidRDefault="00275514" w:rsidP="005176AA">
            <w:pPr>
              <w:widowControl w:val="0"/>
              <w:autoSpaceDE w:val="0"/>
              <w:autoSpaceDN w:val="0"/>
              <w:ind w:left="850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на оплату труда стажеров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2171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139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850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на иные выплаты гражданским лицам (денежное содержание)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2172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139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284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социальные и иные выплаты населению, всего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2200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300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в том числе:</w:t>
            </w:r>
          </w:p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2210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320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850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из них:</w:t>
            </w:r>
          </w:p>
          <w:p w:rsidR="00275514" w:rsidRPr="00DC4B2E" w:rsidRDefault="00275514" w:rsidP="005176AA">
            <w:pPr>
              <w:widowControl w:val="0"/>
              <w:autoSpaceDE w:val="0"/>
              <w:autoSpaceDN w:val="0"/>
              <w:ind w:left="850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2211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321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выплата стипендий, осуществление иных расходов на социальную поддержку обучающихся за счет сре</w:t>
            </w:r>
            <w:proofErr w:type="gramStart"/>
            <w:r w:rsidRPr="00DC4B2E">
              <w:rPr>
                <w:color w:val="auto"/>
                <w:sz w:val="22"/>
                <w:szCs w:val="22"/>
              </w:rPr>
              <w:t>дств ст</w:t>
            </w:r>
            <w:proofErr w:type="gramEnd"/>
            <w:r w:rsidRPr="00DC4B2E">
              <w:rPr>
                <w:color w:val="auto"/>
                <w:sz w:val="22"/>
                <w:szCs w:val="22"/>
              </w:rPr>
              <w:t>ипендиального фонда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2220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340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2230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350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2240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360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284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2300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850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из них:</w:t>
            </w:r>
          </w:p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2310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851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2320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852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2330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853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284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2400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из них:</w:t>
            </w:r>
          </w:p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lastRenderedPageBreak/>
              <w:t>гранты, предоставляемые другим организациям и физическим лицам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lastRenderedPageBreak/>
              <w:t>2410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810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lastRenderedPageBreak/>
              <w:t>взносы в международные организации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2420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862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2430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863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284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2500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2520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831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FC6D56" w:rsidRDefault="00275514" w:rsidP="005176AA">
            <w:pPr>
              <w:widowControl w:val="0"/>
              <w:autoSpaceDE w:val="0"/>
              <w:autoSpaceDN w:val="0"/>
              <w:ind w:left="284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расходы на закупку товаров, работ, услуг, всего</w:t>
            </w:r>
            <w:r w:rsidRPr="00FC6D56">
              <w:rPr>
                <w:color w:val="auto"/>
                <w:sz w:val="22"/>
                <w:szCs w:val="22"/>
              </w:rPr>
              <w:t xml:space="preserve"> </w:t>
            </w:r>
            <w:r w:rsidRPr="00DC4B2E">
              <w:rPr>
                <w:color w:val="auto"/>
                <w:sz w:val="22"/>
                <w:szCs w:val="22"/>
              </w:rPr>
              <w:t xml:space="preserve"> </w:t>
            </w:r>
            <w:r w:rsidRPr="00FC6D56">
              <w:rPr>
                <w:color w:val="auto"/>
                <w:sz w:val="22"/>
                <w:szCs w:val="22"/>
              </w:rPr>
              <w:t>&lt;7&gt;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bookmarkStart w:id="8" w:name="P699"/>
            <w:bookmarkEnd w:id="8"/>
            <w:r w:rsidRPr="00DC4B2E">
              <w:rPr>
                <w:color w:val="auto"/>
                <w:sz w:val="22"/>
                <w:szCs w:val="22"/>
              </w:rPr>
              <w:t>2600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в том числе:</w:t>
            </w:r>
          </w:p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2610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241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2620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242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2630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243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прочую закупку товаров, работ и услуг всего</w:t>
            </w:r>
            <w:r>
              <w:rPr>
                <w:color w:val="auto"/>
                <w:sz w:val="22"/>
                <w:szCs w:val="22"/>
              </w:rPr>
              <w:t xml:space="preserve">, 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2640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244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850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lastRenderedPageBreak/>
              <w:t>из них: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2650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400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850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в том числе:</w:t>
            </w:r>
          </w:p>
          <w:p w:rsidR="00275514" w:rsidRPr="00DC4B2E" w:rsidRDefault="00275514" w:rsidP="005176AA">
            <w:pPr>
              <w:widowControl w:val="0"/>
              <w:autoSpaceDE w:val="0"/>
              <w:autoSpaceDN w:val="0"/>
              <w:ind w:left="850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2651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406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850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bookmarkStart w:id="9" w:name="P766"/>
            <w:bookmarkEnd w:id="9"/>
            <w:r w:rsidRPr="00DC4B2E">
              <w:rPr>
                <w:color w:val="auto"/>
                <w:sz w:val="22"/>
                <w:szCs w:val="22"/>
              </w:rPr>
              <w:t>2652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407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FC6D56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  <w:lang w:val="en-US"/>
              </w:rPr>
            </w:pPr>
            <w:r w:rsidRPr="00DC4B2E">
              <w:rPr>
                <w:color w:val="auto"/>
                <w:sz w:val="22"/>
                <w:szCs w:val="22"/>
              </w:rPr>
              <w:t xml:space="preserve">Выплаты, уменьшающие доход, всего </w:t>
            </w:r>
            <w:r>
              <w:rPr>
                <w:color w:val="auto"/>
                <w:sz w:val="22"/>
                <w:szCs w:val="22"/>
                <w:lang w:val="en-US"/>
              </w:rPr>
              <w:t>&lt;8&gt;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bookmarkStart w:id="10" w:name="P774"/>
            <w:bookmarkEnd w:id="10"/>
            <w:r w:rsidRPr="00DC4B2E">
              <w:rPr>
                <w:color w:val="auto"/>
                <w:sz w:val="22"/>
                <w:szCs w:val="22"/>
              </w:rPr>
              <w:t>3000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в том числе:</w:t>
            </w:r>
          </w:p>
          <w:p w:rsidR="00275514" w:rsidRPr="00F134D0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 xml:space="preserve">налог на прибыль </w:t>
            </w:r>
            <w:r w:rsidRPr="00F134D0">
              <w:rPr>
                <w:color w:val="auto"/>
                <w:sz w:val="22"/>
                <w:szCs w:val="22"/>
              </w:rPr>
              <w:t>&lt;8&gt;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3010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FC6D56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налог на добавленную стоимость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&lt;8&gt;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3020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FC6D56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  <w:lang w:val="en-US"/>
              </w:rPr>
            </w:pPr>
            <w:r w:rsidRPr="00DC4B2E">
              <w:rPr>
                <w:color w:val="auto"/>
                <w:sz w:val="22"/>
                <w:szCs w:val="22"/>
              </w:rPr>
              <w:t>п</w:t>
            </w:r>
            <w:r>
              <w:rPr>
                <w:color w:val="auto"/>
                <w:sz w:val="22"/>
                <w:szCs w:val="22"/>
              </w:rPr>
              <w:t>рочие налоги, уменьшающие доход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&lt;8&gt;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bookmarkStart w:id="11" w:name="P799"/>
            <w:bookmarkEnd w:id="11"/>
            <w:r w:rsidRPr="00DC4B2E">
              <w:rPr>
                <w:color w:val="auto"/>
                <w:sz w:val="22"/>
                <w:szCs w:val="22"/>
              </w:rPr>
              <w:t>3030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FC6D56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  <w:lang w:val="en-US"/>
              </w:rPr>
            </w:pPr>
            <w:r w:rsidRPr="00DC4B2E">
              <w:rPr>
                <w:color w:val="auto"/>
                <w:sz w:val="22"/>
                <w:szCs w:val="22"/>
              </w:rPr>
              <w:t xml:space="preserve">Прочие выплаты, всего </w:t>
            </w:r>
            <w:r>
              <w:rPr>
                <w:color w:val="auto"/>
                <w:sz w:val="22"/>
                <w:szCs w:val="22"/>
                <w:lang w:val="en-US"/>
              </w:rPr>
              <w:t>&lt;9&gt;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bookmarkStart w:id="12" w:name="P807"/>
            <w:bookmarkEnd w:id="12"/>
            <w:r w:rsidRPr="00DC4B2E">
              <w:rPr>
                <w:color w:val="auto"/>
                <w:sz w:val="22"/>
                <w:szCs w:val="22"/>
              </w:rPr>
              <w:t>4000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из них:</w:t>
            </w:r>
          </w:p>
          <w:p w:rsidR="00275514" w:rsidRPr="00DC4B2E" w:rsidRDefault="00275514" w:rsidP="005176AA">
            <w:pPr>
              <w:widowControl w:val="0"/>
              <w:autoSpaceDE w:val="0"/>
              <w:autoSpaceDN w:val="0"/>
              <w:ind w:left="567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возврат в бюджет средств субсидии</w:t>
            </w: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4010</w:t>
            </w: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610</w:t>
            </w: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DC4B2E">
              <w:rPr>
                <w:color w:val="auto"/>
                <w:sz w:val="22"/>
                <w:szCs w:val="22"/>
              </w:rPr>
              <w:t>x</w:t>
            </w:r>
          </w:p>
        </w:tc>
      </w:tr>
      <w:tr w:rsidR="00275514" w:rsidRPr="00DC4B2E" w:rsidTr="005176AA">
        <w:tblPrEx>
          <w:tblBorders>
            <w:right w:val="single" w:sz="4" w:space="0" w:color="auto"/>
          </w:tblBorders>
        </w:tblPrEx>
        <w:trPr>
          <w:trHeight w:val="398"/>
        </w:trPr>
        <w:tc>
          <w:tcPr>
            <w:tcW w:w="4253" w:type="dxa"/>
            <w:tcBorders>
              <w:left w:val="single" w:sz="4" w:space="0" w:color="auto"/>
            </w:tcBorders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275514" w:rsidRPr="00DC4B2E" w:rsidRDefault="00275514" w:rsidP="005176AA">
            <w:pPr>
              <w:widowControl w:val="0"/>
              <w:autoSpaceDE w:val="0"/>
              <w:autoSpaceDN w:val="0"/>
              <w:rPr>
                <w:color w:val="auto"/>
                <w:sz w:val="22"/>
                <w:szCs w:val="22"/>
              </w:rPr>
            </w:pPr>
          </w:p>
        </w:tc>
      </w:tr>
    </w:tbl>
    <w:p w:rsidR="001241C1" w:rsidRPr="000A6495" w:rsidRDefault="001241C1" w:rsidP="001241C1">
      <w:pPr>
        <w:widowControl w:val="0"/>
        <w:autoSpaceDE w:val="0"/>
        <w:autoSpaceDN w:val="0"/>
        <w:jc w:val="both"/>
      </w:pPr>
      <w:bookmarkStart w:id="13" w:name="_GoBack"/>
      <w:bookmarkEnd w:id="13"/>
    </w:p>
    <w:p w:rsidR="001241C1" w:rsidRPr="000A6495" w:rsidRDefault="001241C1" w:rsidP="001241C1">
      <w:pPr>
        <w:widowControl w:val="0"/>
        <w:autoSpaceDE w:val="0"/>
        <w:autoSpaceDN w:val="0"/>
        <w:ind w:firstLine="540"/>
        <w:jc w:val="both"/>
      </w:pPr>
      <w:r w:rsidRPr="000A6495">
        <w:t>--------------------------------</w:t>
      </w:r>
      <w:bookmarkStart w:id="14" w:name="P754"/>
      <w:bookmarkEnd w:id="14"/>
    </w:p>
    <w:p w:rsidR="001241C1" w:rsidRPr="000A6495" w:rsidRDefault="001241C1" w:rsidP="001241C1">
      <w:pPr>
        <w:widowControl w:val="0"/>
        <w:autoSpaceDE w:val="0"/>
        <w:autoSpaceDN w:val="0"/>
        <w:ind w:firstLine="540"/>
        <w:jc w:val="both"/>
      </w:pPr>
      <w:r w:rsidRPr="000A6495">
        <w:t>&lt;1</w:t>
      </w:r>
      <w:proofErr w:type="gramStart"/>
      <w:r w:rsidRPr="000A6495">
        <w:t>&gt; В</w:t>
      </w:r>
      <w:proofErr w:type="gramEnd"/>
      <w:r w:rsidRPr="000A6495">
        <w:t xml:space="preserve"> случае утверждения закона (решения) о бюджете на текущий финансовый год и плановый период.</w:t>
      </w:r>
      <w:bookmarkStart w:id="15" w:name="P755"/>
      <w:bookmarkEnd w:id="15"/>
    </w:p>
    <w:p w:rsidR="001241C1" w:rsidRPr="000A6495" w:rsidRDefault="001241C1" w:rsidP="001241C1">
      <w:pPr>
        <w:widowControl w:val="0"/>
        <w:autoSpaceDE w:val="0"/>
        <w:autoSpaceDN w:val="0"/>
        <w:spacing w:before="220"/>
        <w:ind w:firstLine="540"/>
        <w:jc w:val="both"/>
      </w:pPr>
      <w:r w:rsidRPr="000A6495">
        <w:t>&lt;2</w:t>
      </w:r>
      <w:proofErr w:type="gramStart"/>
      <w:r w:rsidRPr="000A6495">
        <w:t>&gt; У</w:t>
      </w:r>
      <w:proofErr w:type="gramEnd"/>
      <w:r w:rsidRPr="000A6495">
        <w:t>казывается дата подписания Плана, а в случае утверждения Плана уполномоченным лицом учреждения - дата утверждения Плана.</w:t>
      </w:r>
    </w:p>
    <w:p w:rsidR="001241C1" w:rsidRPr="000A6495" w:rsidRDefault="001241C1" w:rsidP="001241C1">
      <w:pPr>
        <w:widowControl w:val="0"/>
        <w:autoSpaceDE w:val="0"/>
        <w:autoSpaceDN w:val="0"/>
        <w:spacing w:before="220"/>
        <w:ind w:firstLine="540"/>
        <w:jc w:val="both"/>
      </w:pPr>
      <w:bookmarkStart w:id="16" w:name="P756"/>
      <w:bookmarkEnd w:id="16"/>
      <w:r w:rsidRPr="000A6495">
        <w:t>&lt;3</w:t>
      </w:r>
      <w:proofErr w:type="gramStart"/>
      <w:r w:rsidRPr="000A6495">
        <w:t>&gt; В</w:t>
      </w:r>
      <w:proofErr w:type="gramEnd"/>
      <w:r w:rsidRPr="000A6495">
        <w:t xml:space="preserve"> графе 3 отражаются:</w:t>
      </w:r>
    </w:p>
    <w:p w:rsidR="001241C1" w:rsidRPr="000A6495" w:rsidRDefault="001241C1" w:rsidP="001241C1">
      <w:pPr>
        <w:widowControl w:val="0"/>
        <w:autoSpaceDE w:val="0"/>
        <w:autoSpaceDN w:val="0"/>
        <w:spacing w:before="220"/>
        <w:ind w:firstLine="540"/>
        <w:jc w:val="both"/>
      </w:pPr>
      <w:r w:rsidRPr="000A6495">
        <w:lastRenderedPageBreak/>
        <w:t xml:space="preserve">по строкам 1100 - 1900 - коды аналитической </w:t>
      </w:r>
      <w:proofErr w:type="gramStart"/>
      <w:r w:rsidRPr="000A6495">
        <w:t>группы подвида доходов бюджетов классификации доходов бюджетов</w:t>
      </w:r>
      <w:proofErr w:type="gramEnd"/>
      <w:r w:rsidRPr="000A6495">
        <w:t>;</w:t>
      </w:r>
    </w:p>
    <w:p w:rsidR="001241C1" w:rsidRPr="000A6495" w:rsidRDefault="001241C1" w:rsidP="001241C1">
      <w:pPr>
        <w:widowControl w:val="0"/>
        <w:autoSpaceDE w:val="0"/>
        <w:autoSpaceDN w:val="0"/>
        <w:spacing w:before="220"/>
        <w:ind w:firstLine="540"/>
        <w:jc w:val="both"/>
      </w:pPr>
      <w:r w:rsidRPr="000A6495">
        <w:t xml:space="preserve">по строкам 1980 - 1990 - коды аналитической </w:t>
      </w:r>
      <w:proofErr w:type="gramStart"/>
      <w:r w:rsidRPr="000A6495"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 w:rsidRPr="000A6495">
        <w:t>;</w:t>
      </w:r>
    </w:p>
    <w:p w:rsidR="001241C1" w:rsidRPr="000A6495" w:rsidRDefault="001241C1" w:rsidP="001241C1">
      <w:pPr>
        <w:widowControl w:val="0"/>
        <w:autoSpaceDE w:val="0"/>
        <w:autoSpaceDN w:val="0"/>
        <w:spacing w:before="220"/>
        <w:ind w:firstLine="540"/>
        <w:jc w:val="both"/>
      </w:pPr>
      <w:r w:rsidRPr="000A6495">
        <w:t xml:space="preserve">по строкам 2000 - 2652 - коды </w:t>
      </w:r>
      <w:proofErr w:type="gramStart"/>
      <w:r w:rsidRPr="000A6495">
        <w:t>видов расходов бюджетов классификации расходов бюджетов</w:t>
      </w:r>
      <w:proofErr w:type="gramEnd"/>
      <w:r w:rsidRPr="000A6495">
        <w:t>;</w:t>
      </w:r>
    </w:p>
    <w:p w:rsidR="001241C1" w:rsidRPr="000A6495" w:rsidRDefault="001241C1" w:rsidP="001241C1">
      <w:pPr>
        <w:widowControl w:val="0"/>
        <w:autoSpaceDE w:val="0"/>
        <w:autoSpaceDN w:val="0"/>
        <w:spacing w:before="220"/>
        <w:ind w:firstLine="540"/>
        <w:jc w:val="both"/>
      </w:pPr>
      <w:r w:rsidRPr="000A6495">
        <w:t xml:space="preserve">по строкам 3000 - 3030 - коды аналитической </w:t>
      </w:r>
      <w:proofErr w:type="gramStart"/>
      <w:r w:rsidRPr="000A6495">
        <w:t>группы подвида доходов бюджетов классификации доходов</w:t>
      </w:r>
      <w:proofErr w:type="gramEnd"/>
      <w:r w:rsidRPr="000A6495">
        <w:t xml:space="preserve"> бюджетов, по которым планируется уплата налогов, уменьшающих доход (в том числе налог на прибыль, налог на добавленную стоимость, единый налог на вмененный доход для отдельных видов деятельности);</w:t>
      </w:r>
    </w:p>
    <w:p w:rsidR="001241C1" w:rsidRPr="000A6495" w:rsidRDefault="001241C1" w:rsidP="001241C1">
      <w:pPr>
        <w:widowControl w:val="0"/>
        <w:autoSpaceDE w:val="0"/>
        <w:autoSpaceDN w:val="0"/>
        <w:spacing w:before="220"/>
        <w:ind w:firstLine="540"/>
        <w:jc w:val="both"/>
      </w:pPr>
      <w:r w:rsidRPr="000A6495">
        <w:t xml:space="preserve">по строкам 4000 - 4040 - коды аналитической </w:t>
      </w:r>
      <w:proofErr w:type="gramStart"/>
      <w:r w:rsidRPr="000A6495"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 w:rsidRPr="000A6495">
        <w:t>.</w:t>
      </w:r>
    </w:p>
    <w:p w:rsidR="001241C1" w:rsidRPr="000A6495" w:rsidRDefault="001241C1" w:rsidP="001241C1">
      <w:pPr>
        <w:widowControl w:val="0"/>
        <w:autoSpaceDE w:val="0"/>
        <w:autoSpaceDN w:val="0"/>
        <w:spacing w:before="220"/>
        <w:ind w:firstLine="540"/>
        <w:jc w:val="both"/>
      </w:pPr>
      <w:bookmarkStart w:id="17" w:name="P762"/>
      <w:bookmarkEnd w:id="17"/>
      <w:r w:rsidRPr="000A6495">
        <w:t>&lt;4</w:t>
      </w:r>
      <w:proofErr w:type="gramStart"/>
      <w:r w:rsidRPr="000A6495">
        <w:t>&gt; В</w:t>
      </w:r>
      <w:proofErr w:type="gramEnd"/>
      <w:r w:rsidRPr="000A6495">
        <w:t xml:space="preserve"> графе 4 указывается код классификации операций сектора государственного управления в соответствии с </w:t>
      </w:r>
      <w:hyperlink r:id="rId8" w:history="1">
        <w:r w:rsidRPr="000A6495">
          <w:t>Порядком</w:t>
        </w:r>
      </w:hyperlink>
      <w:r w:rsidRPr="000A6495">
        <w:t xml:space="preserve"> применения классификации операций сектора государственного управления, утвержденным приказом Министерства финансов Российской Федерации от 29 ноября 2017 г. </w:t>
      </w:r>
      <w:r>
        <w:t>№</w:t>
      </w:r>
      <w:r w:rsidRPr="000A6495">
        <w:t xml:space="preserve"> 209н (зарегистрирован в Министерстве юстиции Российской Федерации 12 февраля 2018 г., регистрационный номер 50003), и (или) коды иных аналитических показателей, в случае, если Порядком органа-учредителя предусмотрена указанная детализация.</w:t>
      </w:r>
    </w:p>
    <w:p w:rsidR="001241C1" w:rsidRPr="000A6495" w:rsidRDefault="001241C1" w:rsidP="001241C1">
      <w:pPr>
        <w:widowControl w:val="0"/>
        <w:autoSpaceDE w:val="0"/>
        <w:autoSpaceDN w:val="0"/>
        <w:spacing w:before="220"/>
        <w:ind w:firstLine="540"/>
        <w:jc w:val="both"/>
      </w:pPr>
      <w:bookmarkStart w:id="18" w:name="P763"/>
      <w:bookmarkEnd w:id="18"/>
      <w:r w:rsidRPr="000A6495">
        <w:t>&lt;5</w:t>
      </w:r>
      <w:proofErr w:type="gramStart"/>
      <w:r w:rsidRPr="000A6495">
        <w:t>&gt; П</w:t>
      </w:r>
      <w:proofErr w:type="gramEnd"/>
      <w:r w:rsidRPr="000A6495">
        <w:t>о строкам 0001 и 0002 указываются планируемые суммы остатков средств на начало и на конец планируемого года, если указанные показатели по решению органа, осуществляющего функции и полномочия учредителя,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года.</w:t>
      </w:r>
    </w:p>
    <w:p w:rsidR="001241C1" w:rsidRPr="000A6495" w:rsidRDefault="001241C1" w:rsidP="001241C1">
      <w:pPr>
        <w:widowControl w:val="0"/>
        <w:autoSpaceDE w:val="0"/>
        <w:autoSpaceDN w:val="0"/>
        <w:spacing w:before="220"/>
        <w:ind w:firstLine="540"/>
        <w:jc w:val="both"/>
      </w:pPr>
      <w:bookmarkStart w:id="19" w:name="P764"/>
      <w:bookmarkEnd w:id="19"/>
      <w:r w:rsidRPr="000A6495">
        <w:t xml:space="preserve">&lt;6&gt; Показатели прочих поступлений включают в </w:t>
      </w:r>
      <w:proofErr w:type="gramStart"/>
      <w:r w:rsidRPr="000A6495">
        <w:t>себя</w:t>
      </w:r>
      <w:proofErr w:type="gramEnd"/>
      <w:r w:rsidRPr="000A6495">
        <w:t xml:space="preserve"> в том числе показатели увеличения денежных средств за счет возврата дебиторской задолженности прошлых лет, включая возврат предоставленных займов (</w:t>
      </w:r>
      <w:proofErr w:type="spellStart"/>
      <w:r w:rsidRPr="000A6495">
        <w:t>микрозаймов</w:t>
      </w:r>
      <w:proofErr w:type="spellEnd"/>
      <w:r w:rsidRPr="000A6495">
        <w:t>), а также за счет возврата средств, размещенных на банковских депозитах. При формировании Плана (проекта Плана) обособленном</w:t>
      </w:r>
      <w:proofErr w:type="gramStart"/>
      <w:r w:rsidRPr="000A6495">
        <w:t>у(</w:t>
      </w:r>
      <w:proofErr w:type="spellStart"/>
      <w:proofErr w:type="gramEnd"/>
      <w:r w:rsidRPr="000A6495">
        <w:t>ым</w:t>
      </w:r>
      <w:proofErr w:type="spellEnd"/>
      <w:r w:rsidRPr="000A6495">
        <w:t>) подразделению(ям) показатель прочих поступлений включает показатель поступлений в рамках расчетов между головным учреждением и обособленным подразделением.</w:t>
      </w:r>
    </w:p>
    <w:p w:rsidR="001241C1" w:rsidRPr="000A6495" w:rsidRDefault="001241C1" w:rsidP="001241C1">
      <w:pPr>
        <w:widowControl w:val="0"/>
        <w:autoSpaceDE w:val="0"/>
        <w:autoSpaceDN w:val="0"/>
        <w:spacing w:before="220"/>
        <w:ind w:firstLine="540"/>
        <w:jc w:val="both"/>
      </w:pPr>
      <w:bookmarkStart w:id="20" w:name="P765"/>
      <w:bookmarkEnd w:id="20"/>
      <w:r w:rsidRPr="000A6495">
        <w:t xml:space="preserve">&lt;7&gt; Показатели выплат по расходам на закупки товаров, работ, услуг, отраженные в строке 2600 Раздела 1 </w:t>
      </w:r>
      <w:r>
        <w:t>«Поступления и выплаты»</w:t>
      </w:r>
      <w:r w:rsidRPr="000A6495">
        <w:t xml:space="preserve"> Плана, подлежат детализации в Разделе 2 </w:t>
      </w:r>
      <w:r>
        <w:t>«</w:t>
      </w:r>
      <w:r w:rsidRPr="000A6495">
        <w:t>Сведения по выплатам на закупку товаров, работ, услуг</w:t>
      </w:r>
      <w:r>
        <w:t>»</w:t>
      </w:r>
      <w:r w:rsidRPr="000A6495">
        <w:t xml:space="preserve"> Плана.</w:t>
      </w:r>
    </w:p>
    <w:p w:rsidR="001241C1" w:rsidRPr="000A6495" w:rsidRDefault="001241C1" w:rsidP="001241C1">
      <w:pPr>
        <w:widowControl w:val="0"/>
        <w:autoSpaceDE w:val="0"/>
        <w:autoSpaceDN w:val="0"/>
        <w:spacing w:before="220"/>
        <w:ind w:firstLine="540"/>
        <w:jc w:val="both"/>
      </w:pPr>
      <w:r w:rsidRPr="000A6495">
        <w:t xml:space="preserve">&lt;8&gt; Показатель отражается со знаком </w:t>
      </w:r>
      <w:r>
        <w:t>«</w:t>
      </w:r>
      <w:r w:rsidRPr="000A6495">
        <w:t>минус</w:t>
      </w:r>
      <w:r>
        <w:t>»</w:t>
      </w:r>
      <w:r w:rsidRPr="000A6495">
        <w:t>.</w:t>
      </w:r>
    </w:p>
    <w:p w:rsidR="001241C1" w:rsidRPr="000A6495" w:rsidRDefault="001241C1" w:rsidP="001241C1">
      <w:pPr>
        <w:widowControl w:val="0"/>
        <w:autoSpaceDE w:val="0"/>
        <w:autoSpaceDN w:val="0"/>
        <w:spacing w:before="220"/>
        <w:ind w:firstLine="540"/>
        <w:jc w:val="both"/>
      </w:pPr>
      <w:bookmarkStart w:id="21" w:name="P767"/>
      <w:bookmarkEnd w:id="21"/>
      <w:r w:rsidRPr="000A6495">
        <w:t xml:space="preserve">&lt;9&gt; Показатели прочих выплат включают в </w:t>
      </w:r>
      <w:proofErr w:type="gramStart"/>
      <w:r w:rsidRPr="000A6495">
        <w:t>себя</w:t>
      </w:r>
      <w:proofErr w:type="gramEnd"/>
      <w:r w:rsidRPr="000A6495">
        <w:t xml:space="preserve"> в том числе показатели уменьшения денежных средств за счет возврата средств субсидий, предоставленных до начала текущего финансового года, предоставления займов (</w:t>
      </w:r>
      <w:proofErr w:type="spellStart"/>
      <w:r w:rsidRPr="000A6495">
        <w:t>микрозаймов</w:t>
      </w:r>
      <w:proofErr w:type="spellEnd"/>
      <w:r w:rsidRPr="000A6495">
        <w:t>), размещения автономными учреждениями денежных средств на банковских депозитах. При формировании Плана (проекта Плана) обособленном</w:t>
      </w:r>
      <w:proofErr w:type="gramStart"/>
      <w:r w:rsidRPr="000A6495">
        <w:t>у(</w:t>
      </w:r>
      <w:proofErr w:type="spellStart"/>
      <w:proofErr w:type="gramEnd"/>
      <w:r w:rsidRPr="000A6495">
        <w:t>ым</w:t>
      </w:r>
      <w:proofErr w:type="spellEnd"/>
      <w:r w:rsidRPr="000A6495">
        <w:t>) подразделению(ям) показатель прочих выплат включает показатель поступлений в рамках расчетов между головным учреждением и обособленным подразделением.</w:t>
      </w:r>
      <w:r>
        <w:t>»</w:t>
      </w:r>
    </w:p>
    <w:sectPr w:rsidR="001241C1" w:rsidRPr="000A6495" w:rsidSect="001241C1">
      <w:pgSz w:w="16838" w:h="11905" w:orient="landscape"/>
      <w:pgMar w:top="1134" w:right="425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616E0603"/>
    <w:multiLevelType w:val="hybridMultilevel"/>
    <w:tmpl w:val="585087DA"/>
    <w:lvl w:ilvl="0" w:tplc="D312F83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00"/>
    <w:rsid w:val="000422A5"/>
    <w:rsid w:val="00060F2F"/>
    <w:rsid w:val="00090CA2"/>
    <w:rsid w:val="001241C1"/>
    <w:rsid w:val="001C6124"/>
    <w:rsid w:val="00262BB1"/>
    <w:rsid w:val="00275514"/>
    <w:rsid w:val="002A7F06"/>
    <w:rsid w:val="002C0AD4"/>
    <w:rsid w:val="00367FAC"/>
    <w:rsid w:val="003A7396"/>
    <w:rsid w:val="003B7AD9"/>
    <w:rsid w:val="003F0D83"/>
    <w:rsid w:val="00403CC7"/>
    <w:rsid w:val="00422E48"/>
    <w:rsid w:val="004369EE"/>
    <w:rsid w:val="004E483B"/>
    <w:rsid w:val="00533740"/>
    <w:rsid w:val="0055044A"/>
    <w:rsid w:val="005831DA"/>
    <w:rsid w:val="005B1802"/>
    <w:rsid w:val="005F731E"/>
    <w:rsid w:val="005F7892"/>
    <w:rsid w:val="0063194D"/>
    <w:rsid w:val="00672A00"/>
    <w:rsid w:val="007243A6"/>
    <w:rsid w:val="007B2149"/>
    <w:rsid w:val="00816E86"/>
    <w:rsid w:val="00AF275D"/>
    <w:rsid w:val="00BB006C"/>
    <w:rsid w:val="00C1133C"/>
    <w:rsid w:val="00C91A47"/>
    <w:rsid w:val="00D14AA5"/>
    <w:rsid w:val="00D4007E"/>
    <w:rsid w:val="00EF55E9"/>
    <w:rsid w:val="00F63E3B"/>
    <w:rsid w:val="00FD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E8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6E86"/>
    <w:pPr>
      <w:keepNext/>
      <w:outlineLvl w:val="0"/>
    </w:pPr>
    <w:rPr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422E4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16E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16E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6E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E86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5">
    <w:name w:val="Table Grid"/>
    <w:basedOn w:val="a1"/>
    <w:uiPriority w:val="59"/>
    <w:rsid w:val="007B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F275D"/>
    <w:pPr>
      <w:ind w:left="720"/>
      <w:contextualSpacing/>
    </w:pPr>
  </w:style>
  <w:style w:type="paragraph" w:customStyle="1" w:styleId="ConsPlusTitle">
    <w:name w:val="ConsPlusTitle"/>
    <w:rsid w:val="002755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iPriority w:val="99"/>
    <w:unhideWhenUsed/>
    <w:rsid w:val="0027551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755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7551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755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551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E8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6E86"/>
    <w:pPr>
      <w:keepNext/>
      <w:outlineLvl w:val="0"/>
    </w:pPr>
    <w:rPr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422E4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16E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16E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6E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E86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5">
    <w:name w:val="Table Grid"/>
    <w:basedOn w:val="a1"/>
    <w:uiPriority w:val="59"/>
    <w:rsid w:val="007B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F275D"/>
    <w:pPr>
      <w:ind w:left="720"/>
      <w:contextualSpacing/>
    </w:pPr>
  </w:style>
  <w:style w:type="paragraph" w:customStyle="1" w:styleId="ConsPlusTitle">
    <w:name w:val="ConsPlusTitle"/>
    <w:rsid w:val="002755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iPriority w:val="99"/>
    <w:unhideWhenUsed/>
    <w:rsid w:val="0027551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755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7551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755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551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EE623845687918A5557F73C8FCBB7A6C2A92D1D83E8F964212369C92147C55CB8AA903766E889864E6FA650256C0272FF017C857B01BAEt1f0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E97D180CC363DF50BC58D21DCB8A0CD3CC918735D5C8062E4F7783A8F45D6AC22E86F067B6CEAB07501EF30CCFB0B47F589CAE1B083y6r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3FDD2-B14C-480C-ACFB-273E316A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EGV</dc:creator>
  <cp:lastModifiedBy>EGV</cp:lastModifiedBy>
  <cp:revision>5</cp:revision>
  <cp:lastPrinted>2020-01-28T05:52:00Z</cp:lastPrinted>
  <dcterms:created xsi:type="dcterms:W3CDTF">2020-01-28T05:25:00Z</dcterms:created>
  <dcterms:modified xsi:type="dcterms:W3CDTF">2020-01-29T05:19:00Z</dcterms:modified>
</cp:coreProperties>
</file>