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F449F4" w:rsidRDefault="00F449F4" w:rsidP="00F449F4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 w:rsidRPr="00F449F4">
        <w:rPr>
          <w:rFonts w:ascii="Times New Roman" w:hAnsi="Times New Roman"/>
          <w:bCs/>
          <w:sz w:val="28"/>
          <w:szCs w:val="28"/>
        </w:rPr>
        <w:t>от 07 мая 2020 г. № 99</w:t>
      </w:r>
      <w:r w:rsidR="007751B8" w:rsidRPr="00F449F4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432BE26" wp14:editId="09B593F8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449F4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7751B8" w:rsidRDefault="007751B8" w:rsidP="007751B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751B8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внесении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изменений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в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9100D" w:rsidRDefault="007751B8" w:rsidP="007751B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1B8"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28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2012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г.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№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407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«О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возмещении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недополученных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доходов,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связанных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с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перевозкой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пассажиров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городским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наземным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электрическим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транспортом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автомобильным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транспортом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общего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пользования»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(в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редакции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постановлений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12.02.2014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№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21,</w:t>
            </w:r>
          </w:p>
          <w:p w:rsidR="0079100D" w:rsidRDefault="007751B8" w:rsidP="007751B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29.12.2014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№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406,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17.05.2017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№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104,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19.12.2017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№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379,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5EED" w:rsidRDefault="007751B8" w:rsidP="007751B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1B8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26.02.2019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№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44,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18.12.2019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№</w:t>
            </w:r>
            <w:r w:rsidRPr="00775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sz w:val="28"/>
                <w:szCs w:val="28"/>
              </w:rPr>
              <w:t>417)</w:t>
            </w:r>
          </w:p>
        </w:tc>
      </w:tr>
      <w:tr w:rsidR="000D5EED" w:rsidRPr="007751B8">
        <w:trPr>
          <w:jc w:val="right"/>
        </w:trPr>
        <w:tc>
          <w:tcPr>
            <w:tcW w:w="5000" w:type="pct"/>
            <w:gridSpan w:val="3"/>
          </w:tcPr>
          <w:p w:rsidR="0079100D" w:rsidRDefault="0079100D" w:rsidP="007751B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1B8" w:rsidRPr="00D13643" w:rsidRDefault="007751B8" w:rsidP="007751B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A32">
              <w:rPr>
                <w:rFonts w:ascii="Times New Roman" w:hAnsi="Times New Roman"/>
                <w:spacing w:val="-4"/>
                <w:sz w:val="28"/>
                <w:szCs w:val="28"/>
              </w:rPr>
              <w:t>В соответствии с Федеральным законом от 1 апреля 2020 года № 103-ФЗ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внесении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изменений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Федеральный закон «О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приостановлении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действия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отдельных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положений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юджетного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кодекса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оссийской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едерации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установлении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особенностей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исполнения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2FAF">
              <w:rPr>
                <w:rFonts w:ascii="Times New Roman" w:hAnsi="Times New Roman"/>
                <w:bCs/>
                <w:sz w:val="28"/>
                <w:szCs w:val="28"/>
              </w:rPr>
              <w:t>году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», распоряжением Губернатора Рязанской области от 17.03.2020 № 70-рг </w:t>
            </w:r>
            <w:r w:rsidRPr="009A102C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102C">
              <w:rPr>
                <w:rFonts w:ascii="Times New Roman" w:hAnsi="Times New Roman"/>
                <w:sz w:val="28"/>
                <w:szCs w:val="28"/>
              </w:rPr>
              <w:t>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102C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102C">
              <w:rPr>
                <w:rFonts w:ascii="Times New Roman" w:hAnsi="Times New Roman"/>
                <w:sz w:val="28"/>
                <w:szCs w:val="28"/>
              </w:rPr>
              <w:t>ПОСТАНОВЛЯЕТ</w:t>
            </w:r>
            <w:r w:rsidRPr="00D1364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751B8" w:rsidRDefault="007751B8" w:rsidP="007751B8">
            <w:pPr>
              <w:pStyle w:val="ConsPlusNormal"/>
              <w:ind w:firstLine="709"/>
              <w:jc w:val="both"/>
            </w:pPr>
            <w:r>
              <w:rPr>
                <w:szCs w:val="28"/>
              </w:rPr>
              <w:t>1.</w:t>
            </w:r>
            <w:r w:rsidR="0079100D">
              <w:rPr>
                <w:szCs w:val="28"/>
              </w:rPr>
              <w:t> </w:t>
            </w:r>
            <w:r>
              <w:rPr>
                <w:szCs w:val="28"/>
              </w:rPr>
              <w:t>Внести в приложение № 2 к постановлению Правительства Рязанской области от 28 декабря 2012 г. № 407 «</w:t>
            </w:r>
            <w:r w:rsidRPr="00222ED3">
              <w:t>О</w:t>
            </w:r>
            <w:r>
              <w:t xml:space="preserve"> </w:t>
            </w:r>
            <w:r w:rsidRPr="00222ED3">
              <w:t>возмещении</w:t>
            </w:r>
            <w:r>
              <w:t xml:space="preserve"> </w:t>
            </w:r>
            <w:r w:rsidRPr="00222ED3">
              <w:t>недополученных</w:t>
            </w:r>
            <w:r>
              <w:t xml:space="preserve"> </w:t>
            </w:r>
            <w:r w:rsidRPr="00222ED3">
              <w:t>доходов,</w:t>
            </w:r>
            <w:r>
              <w:t xml:space="preserve"> </w:t>
            </w:r>
            <w:r w:rsidRPr="00222ED3">
              <w:t>связанных</w:t>
            </w:r>
            <w:r>
              <w:t xml:space="preserve"> </w:t>
            </w:r>
            <w:r w:rsidRPr="00222ED3">
              <w:t>с</w:t>
            </w:r>
            <w:r>
              <w:t xml:space="preserve"> </w:t>
            </w:r>
            <w:r w:rsidRPr="00222ED3">
              <w:t>перевозкой</w:t>
            </w:r>
            <w:r>
              <w:t xml:space="preserve"> </w:t>
            </w:r>
            <w:r w:rsidRPr="00222ED3">
              <w:t>пассажиров</w:t>
            </w:r>
            <w:r>
              <w:t xml:space="preserve"> </w:t>
            </w:r>
            <w:r w:rsidRPr="00222ED3">
              <w:t>городским</w:t>
            </w:r>
            <w:r>
              <w:t xml:space="preserve"> </w:t>
            </w:r>
            <w:r w:rsidRPr="00222ED3">
              <w:t>наземным</w:t>
            </w:r>
            <w:r>
              <w:t xml:space="preserve"> </w:t>
            </w:r>
            <w:r w:rsidRPr="00222ED3">
              <w:t>электрическим</w:t>
            </w:r>
            <w:r>
              <w:t xml:space="preserve"> </w:t>
            </w:r>
            <w:r w:rsidRPr="00222ED3">
              <w:t>транспортом</w:t>
            </w:r>
            <w:r>
              <w:t xml:space="preserve"> </w:t>
            </w:r>
            <w:r w:rsidRPr="00222ED3">
              <w:t>и</w:t>
            </w:r>
            <w:r>
              <w:t xml:space="preserve"> </w:t>
            </w:r>
            <w:r w:rsidRPr="00222ED3">
              <w:t>автомобильным</w:t>
            </w:r>
            <w:r>
              <w:t xml:space="preserve"> </w:t>
            </w:r>
            <w:r w:rsidRPr="00222ED3">
              <w:t>транспортом</w:t>
            </w:r>
            <w:r>
              <w:t xml:space="preserve"> </w:t>
            </w:r>
            <w:r w:rsidRPr="00222ED3">
              <w:t>общего</w:t>
            </w:r>
            <w:r>
              <w:t xml:space="preserve"> </w:t>
            </w:r>
            <w:r w:rsidRPr="00222ED3">
              <w:t>пользования</w:t>
            </w:r>
            <w:r>
              <w:rPr>
                <w:szCs w:val="28"/>
              </w:rPr>
              <w:t xml:space="preserve">» следующие </w:t>
            </w:r>
            <w:r w:rsidRPr="009A102C">
              <w:t>изменени</w:t>
            </w:r>
            <w:r>
              <w:t>я:</w:t>
            </w:r>
          </w:p>
          <w:p w:rsidR="007751B8" w:rsidRPr="007C5C50" w:rsidRDefault="007751B8" w:rsidP="007751B8">
            <w:pPr>
              <w:pStyle w:val="ConsPlusNormal"/>
              <w:ind w:firstLine="709"/>
              <w:jc w:val="both"/>
              <w:rPr>
                <w:color w:val="392C69"/>
              </w:rPr>
            </w:pPr>
            <w:r>
              <w:t>- в абзаце первом пункта 4 после слов «в отчетном периоде» дополнить словами «(за исключением случаев, установленных пунктом 4.1 настоящего Порядка)»;</w:t>
            </w:r>
          </w:p>
          <w:p w:rsidR="007751B8" w:rsidRDefault="007751B8" w:rsidP="007751B8">
            <w:pPr>
              <w:pStyle w:val="ConsPlusNormal"/>
              <w:ind w:firstLine="709"/>
              <w:jc w:val="both"/>
              <w:rPr>
                <w:color w:val="392C69"/>
              </w:rPr>
            </w:pPr>
            <w:r w:rsidRPr="009A102C">
              <w:t>дополни</w:t>
            </w:r>
            <w:r>
              <w:t xml:space="preserve">ть </w:t>
            </w:r>
            <w:r w:rsidRPr="009A102C">
              <w:t>пункт</w:t>
            </w:r>
            <w:r>
              <w:t xml:space="preserve">ом </w:t>
            </w:r>
            <w:r w:rsidRPr="009A102C">
              <w:t>4.1</w:t>
            </w:r>
            <w:r>
              <w:t xml:space="preserve"> </w:t>
            </w:r>
            <w:r w:rsidRPr="009A102C">
              <w:t>следующего</w:t>
            </w:r>
            <w:r>
              <w:t xml:space="preserve"> </w:t>
            </w:r>
            <w:r w:rsidRPr="009A102C">
              <w:t>содержания:</w:t>
            </w:r>
          </w:p>
          <w:p w:rsidR="007751B8" w:rsidRDefault="007751B8" w:rsidP="007751B8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6A2">
              <w:rPr>
                <w:rFonts w:ascii="Times New Roman" w:hAnsi="Times New Roman"/>
                <w:color w:val="392C69"/>
                <w:sz w:val="28"/>
                <w:szCs w:val="28"/>
              </w:rPr>
              <w:t>«4.1.</w:t>
            </w:r>
            <w:r>
              <w:rPr>
                <w:rFonts w:ascii="Times New Roman" w:hAnsi="Times New Roman"/>
                <w:color w:val="392C69"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Размер субсидии, подлежащий перечислению 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>-му перевозчику за отчетный период с 1 по 30 апреля 2020 года, в связи с введением режима повышенной готовности, связанного с угрозой распространения новой коронавирусной инфекции (2019-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nCoV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>), определяется по формуле:</w:t>
            </w:r>
          </w:p>
          <w:p w:rsidR="0079100D" w:rsidRDefault="0079100D" w:rsidP="007751B8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100D" w:rsidRPr="0079100D" w:rsidRDefault="00FF03CA" w:rsidP="0079100D">
            <w:pPr>
              <w:rPr>
                <w:rFonts w:ascii="Times New Roman" w:hAnsi="Times New Roman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spacing w:val="-20"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  <w:lang w:val="en-US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pacing w:val="-20"/>
                    <w:sz w:val="26"/>
                    <w:szCs w:val="26"/>
                  </w:rPr>
                  <m:t xml:space="preserve"> 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/>
                        <w:spacing w:val="-20"/>
                        <w:sz w:val="26"/>
                        <w:szCs w:val="26"/>
                        <w:lang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>i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>(((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spacing w:val="-20"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pacing w:val="-20"/>
                            <w:sz w:val="26"/>
                            <w:szCs w:val="26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pacing w:val="-20"/>
                            <w:sz w:val="26"/>
                            <w:szCs w:val="26"/>
                          </w:rPr>
                          <m:t xml:space="preserve">n эо гор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pacing w:val="-20"/>
                            <w:sz w:val="26"/>
                            <w:szCs w:val="26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pacing w:val="-20"/>
                    <w:sz w:val="26"/>
                    <w:szCs w:val="26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eastAsia="Calibri" w:hAnsi="Cambria Math"/>
                        <w:spacing w:val="-20"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 xml:space="preserve">nacc гор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pacing w:val="-20"/>
                    <w:sz w:val="26"/>
                    <w:szCs w:val="26"/>
                  </w:rPr>
                  <m:t xml:space="preserve">) × </m:t>
                </m:r>
                <m:sSub>
                  <m:sSubPr>
                    <m:ctrlPr>
                      <w:rPr>
                        <w:rFonts w:ascii="Cambria Math" w:eastAsia="Calibri" w:hAnsi="Cambria Math"/>
                        <w:spacing w:val="-20"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 xml:space="preserve">n факт гор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 xml:space="preserve"> 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pacing w:val="-20"/>
                    <w:sz w:val="26"/>
                    <w:szCs w:val="26"/>
                  </w:rPr>
                  <m:t xml:space="preserve">+  </m:t>
                </m:r>
                <m:sSub>
                  <m:sSubPr>
                    <m:ctrlPr>
                      <w:rPr>
                        <w:rFonts w:ascii="Cambria Math" w:eastAsia="Calibri" w:hAnsi="Cambria Math"/>
                        <w:spacing w:val="-20"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 xml:space="preserve">n эо гор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pacing w:val="-20"/>
                    <w:sz w:val="26"/>
                    <w:szCs w:val="26"/>
                  </w:rPr>
                  <m:t xml:space="preserve"> × (</m:t>
                </m:r>
                <m:sSub>
                  <m:sSubPr>
                    <m:ctrlPr>
                      <w:rPr>
                        <w:rFonts w:ascii="Cambria Math" w:eastAsia="Calibri" w:hAnsi="Cambria Math"/>
                        <w:spacing w:val="-20"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 xml:space="preserve">n общ гор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0"/>
                        <w:sz w:val="26"/>
                        <w:szCs w:val="26"/>
                      </w:rPr>
                      <m:t xml:space="preserve"> 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pacing w:val="-20"/>
                    <w:sz w:val="26"/>
                    <w:szCs w:val="26"/>
                  </w:rPr>
                  <m:t>/ 12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6"/>
                    <w:szCs w:val="26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Calibri" w:hAnsi="Cambria Math"/>
                        <w:spacing w:val="-10"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</w:rPr>
                      <m:t xml:space="preserve">n факт льгот гор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</w:rPr>
                      <m:t xml:space="preserve"> 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6"/>
                    <w:szCs w:val="26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Calibri" w:hAnsi="Cambria Math"/>
                        <w:spacing w:val="-10"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</w:rPr>
                      <m:t xml:space="preserve">n факт гор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</w:rPr>
                      <m:t xml:space="preserve"> 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6"/>
                    <w:szCs w:val="26"/>
                  </w:rPr>
                  <m:t xml:space="preserve">)) × </m:t>
                </m:r>
                <m:sSub>
                  <m:sSubPr>
                    <m:ctrlPr>
                      <w:rPr>
                        <w:rFonts w:ascii="Cambria Math" w:eastAsia="Calibri" w:hAnsi="Cambria Math"/>
                        <w:spacing w:val="-10"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</w:rPr>
                      <m:t xml:space="preserve">n факт гор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6"/>
                    <w:szCs w:val="26"/>
                  </w:rPr>
                  <m:t xml:space="preserve">× 12 / </m:t>
                </m:r>
                <m:sSub>
                  <m:sSubPr>
                    <m:ctrlPr>
                      <w:rPr>
                        <w:rFonts w:ascii="Cambria Math" w:eastAsia="Calibri" w:hAnsi="Cambria Math"/>
                        <w:spacing w:val="-10"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</w:rPr>
                      <m:t xml:space="preserve">n норм гор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6"/>
                        <w:szCs w:val="26"/>
                      </w:rPr>
                      <m:t xml:space="preserve"> 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6"/>
                    <w:szCs w:val="26"/>
                  </w:rPr>
                  <m:t>),</m:t>
                </m:r>
              </m:oMath>
            </m:oMathPara>
          </w:p>
          <w:p w:rsidR="007751B8" w:rsidRPr="00830577" w:rsidRDefault="007751B8" w:rsidP="00775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1B8" w:rsidRDefault="007751B8" w:rsidP="007751B8">
            <w:pPr>
              <w:pStyle w:val="ConsPlusTitle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где:</w:t>
            </w:r>
          </w:p>
          <w:p w:rsidR="007751B8" w:rsidRDefault="007751B8" w:rsidP="007751B8">
            <w:pPr>
              <w:pStyle w:val="ConsPlusNormal"/>
              <w:ind w:firstLine="709"/>
              <w:jc w:val="both"/>
            </w:pPr>
            <w:r>
              <w:t>Т</w:t>
            </w:r>
            <w:r w:rsidR="00395A32">
              <w:rPr>
                <w:vertAlign w:val="subscript"/>
              </w:rPr>
              <w:t>n эо гор </w:t>
            </w:r>
            <w:r>
              <w:rPr>
                <w:vertAlign w:val="subscript"/>
              </w:rPr>
              <w:t>i</w:t>
            </w:r>
            <w:r>
              <w:t xml:space="preserve"> </w:t>
            </w:r>
            <w:r w:rsidRPr="009A102C">
              <w:rPr>
                <w:szCs w:val="28"/>
              </w:rPr>
              <w:t>–</w:t>
            </w:r>
            <w:r>
              <w:t xml:space="preserve"> экономически обоснованный тариф на услуги по перевозке пассажиров i-м видом транспорта в городском сообщении (руб./поездка), определенный органом регулирования n-му перевозчику на отчетный период;</w:t>
            </w:r>
          </w:p>
          <w:p w:rsidR="007751B8" w:rsidRPr="009A102C" w:rsidRDefault="007751B8" w:rsidP="007751B8">
            <w:pPr>
              <w:pStyle w:val="ConsPlusNormal"/>
              <w:ind w:firstLine="709"/>
              <w:jc w:val="both"/>
            </w:pPr>
            <w:r>
              <w:t>Т</w:t>
            </w:r>
            <w:r w:rsidRPr="009A102C">
              <w:rPr>
                <w:vertAlign w:val="subscript"/>
              </w:rPr>
              <w:t>пасс</w:t>
            </w:r>
            <w:r>
              <w:rPr>
                <w:vertAlign w:val="subscript"/>
              </w:rPr>
              <w:t xml:space="preserve"> </w:t>
            </w:r>
            <w:r w:rsidRPr="009A102C">
              <w:rPr>
                <w:vertAlign w:val="subscript"/>
              </w:rPr>
              <w:t>гор</w:t>
            </w:r>
            <w:r w:rsidR="00395A32">
              <w:rPr>
                <w:vertAlign w:val="subscript"/>
              </w:rPr>
              <w:t> </w:t>
            </w:r>
            <w:r w:rsidRPr="009A102C">
              <w:rPr>
                <w:vertAlign w:val="subscript"/>
              </w:rPr>
              <w:t>i</w:t>
            </w:r>
            <w:r>
              <w:t xml:space="preserve"> </w:t>
            </w:r>
            <w:r w:rsidRPr="009A102C">
              <w:t>–</w:t>
            </w:r>
            <w:r>
              <w:t xml:space="preserve"> тариф на услуги по перевозке пассажиров i-м видом транспорта в городском сообщении (руб./поездка), установленный органом регулирования на отчетный период;</w:t>
            </w:r>
          </w:p>
          <w:p w:rsidR="007751B8" w:rsidRPr="00C13593" w:rsidRDefault="007751B8" w:rsidP="007751B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251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1534C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1534C5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1534C5">
              <w:rPr>
                <w:rFonts w:ascii="Times New Roman" w:hAnsi="Times New Roman"/>
                <w:sz w:val="28"/>
                <w:szCs w:val="28"/>
                <w:vertAlign w:val="subscript"/>
              </w:rPr>
              <w:t>гор</w:t>
            </w:r>
            <w:r w:rsidR="00395A32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r w:rsidRPr="001534C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102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общий объем перевозок пассажиров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-го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перевозчика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-м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видом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транспорта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городском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сообщении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>в периоде регулирования;</w:t>
            </w:r>
          </w:p>
          <w:p w:rsidR="007751B8" w:rsidRDefault="007751B8" w:rsidP="007751B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251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1534C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1534C5">
              <w:rPr>
                <w:rFonts w:ascii="Times New Roman" w:hAnsi="Times New Roman"/>
                <w:sz w:val="28"/>
                <w:szCs w:val="28"/>
                <w:vertAlign w:val="subscript"/>
              </w:rPr>
              <w:t>факт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1534C5">
              <w:rPr>
                <w:rFonts w:ascii="Times New Roman" w:hAnsi="Times New Roman"/>
                <w:sz w:val="28"/>
                <w:szCs w:val="28"/>
                <w:vertAlign w:val="subscript"/>
              </w:rPr>
              <w:t>льгот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1534C5">
              <w:rPr>
                <w:rFonts w:ascii="Times New Roman" w:hAnsi="Times New Roman"/>
                <w:sz w:val="28"/>
                <w:szCs w:val="28"/>
                <w:vertAlign w:val="subscript"/>
              </w:rPr>
              <w:t>гор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1534C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102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>пассажиров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имеющих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меры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социальной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поддержки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-м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видом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транспорта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-го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перевозчика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городском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32B">
              <w:rPr>
                <w:rFonts w:ascii="Times New Roman" w:hAnsi="Times New Roman"/>
                <w:sz w:val="28"/>
                <w:szCs w:val="28"/>
              </w:rPr>
              <w:t>сообщении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32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32B">
              <w:rPr>
                <w:rFonts w:ascii="Times New Roman" w:hAnsi="Times New Roman"/>
                <w:sz w:val="28"/>
                <w:szCs w:val="28"/>
              </w:rPr>
              <w:t>отчетном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32B">
              <w:rPr>
                <w:rFonts w:ascii="Times New Roman" w:hAnsi="Times New Roman"/>
                <w:sz w:val="28"/>
                <w:szCs w:val="28"/>
              </w:rPr>
              <w:t>периоде;</w:t>
            </w:r>
          </w:p>
          <w:p w:rsidR="007751B8" w:rsidRDefault="007751B8" w:rsidP="007751B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BF0F1A4" wp14:editId="657309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200025"/>
                      <wp:effectExtent l="0" t="0" r="9525" b="9525"/>
                      <wp:wrapNone/>
                      <wp:docPr id="6" name="Rectangl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9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D0251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1534C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1534C5">
              <w:rPr>
                <w:rFonts w:ascii="Times New Roman" w:hAnsi="Times New Roman"/>
                <w:sz w:val="28"/>
                <w:szCs w:val="28"/>
                <w:vertAlign w:val="subscript"/>
              </w:rPr>
              <w:t>факт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1534C5">
              <w:rPr>
                <w:rFonts w:ascii="Times New Roman" w:hAnsi="Times New Roman"/>
                <w:sz w:val="28"/>
                <w:szCs w:val="28"/>
                <w:vertAlign w:val="subscript"/>
              </w:rPr>
              <w:t>гор</w:t>
            </w:r>
            <w:r w:rsidR="00395A32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r w:rsidRPr="001534C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пассажиров,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кроме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имеющих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меры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социальной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поддержки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-го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перевозчика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-м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видом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транспорта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городском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F82">
              <w:rPr>
                <w:rFonts w:ascii="Times New Roman" w:hAnsi="Times New Roman"/>
                <w:sz w:val="28"/>
                <w:szCs w:val="28"/>
              </w:rPr>
              <w:t>сообщении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6DE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6DE7">
              <w:rPr>
                <w:rFonts w:ascii="Times New Roman" w:hAnsi="Times New Roman"/>
                <w:sz w:val="28"/>
                <w:szCs w:val="28"/>
              </w:rPr>
              <w:t>отчетном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6DE7">
              <w:rPr>
                <w:rFonts w:ascii="Times New Roman" w:hAnsi="Times New Roman"/>
                <w:sz w:val="28"/>
                <w:szCs w:val="28"/>
              </w:rPr>
              <w:t>периоде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51B8" w:rsidRDefault="007751B8" w:rsidP="007751B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факт </w:t>
            </w:r>
            <w:r w:rsidRPr="000C2DE7">
              <w:rPr>
                <w:rFonts w:ascii="Times New Roman" w:hAnsi="Times New Roman"/>
                <w:sz w:val="28"/>
                <w:szCs w:val="28"/>
                <w:vertAlign w:val="subscript"/>
              </w:rPr>
              <w:t>гор</w:t>
            </w:r>
            <w:r w:rsidR="00395A32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r w:rsidRPr="000C2DE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9A102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фактический пробег транспортных средств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транспорта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-го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перевозчика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маршрутам согласно утвержденному расписанию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городском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32B">
              <w:rPr>
                <w:rFonts w:ascii="Times New Roman" w:hAnsi="Times New Roman"/>
                <w:sz w:val="28"/>
                <w:szCs w:val="28"/>
              </w:rPr>
              <w:t>сообщении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отчетном периоде;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 wp14:anchorId="0933F312" wp14:editId="2900A6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200025"/>
                      <wp:effectExtent l="0" t="0" r="9525" b="9525"/>
                      <wp:wrapNone/>
                      <wp:docPr id="5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0;margin-top:0;width:9.7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0C2DE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норм </w:t>
            </w:r>
            <w:r w:rsidRPr="000C2DE7">
              <w:rPr>
                <w:rFonts w:ascii="Times New Roman" w:hAnsi="Times New Roman"/>
                <w:sz w:val="28"/>
                <w:szCs w:val="28"/>
                <w:vertAlign w:val="subscript"/>
              </w:rPr>
              <w:t>гор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0C2DE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9A102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нормативный пробег транспортных средств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-го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транспорта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-го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перевозчика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маршрутам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noProof/>
              </w:rPr>
              <w:t xml:space="preserve"> </w:t>
            </w:r>
            <w:r w:rsidRPr="009D0251">
              <w:rPr>
                <w:rFonts w:ascii="Times New Roman" w:hAnsi="Times New Roman"/>
                <w:sz w:val="28"/>
                <w:szCs w:val="28"/>
              </w:rPr>
              <w:t>городском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32B">
              <w:rPr>
                <w:rFonts w:ascii="Times New Roman" w:hAnsi="Times New Roman"/>
                <w:sz w:val="28"/>
                <w:szCs w:val="28"/>
              </w:rPr>
              <w:t>сообщении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согласно утвержденному расписанию в периоде регулирования.</w:t>
            </w:r>
          </w:p>
          <w:p w:rsidR="007751B8" w:rsidRPr="007751B8" w:rsidRDefault="007751B8" w:rsidP="007751B8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отрицательном значении 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>-го вида транспорта размер субсидии в отношении данного вида транспорта принимается равным нулю.</w:t>
            </w:r>
          </w:p>
          <w:p w:rsidR="007751B8" w:rsidRPr="007751B8" w:rsidRDefault="007751B8" w:rsidP="007751B8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расчете размера субсидии фактический пробег транспортных средств 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-го вида транспорта 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-го перевозчика по маршрутам согласно утвержденному расписанию в городском сообщении в отчетном периоде </w:t>
            </w:r>
            <w:r w:rsidR="00B100F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 w:rsidR="00395A3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факт гор 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не может превышать величины одной двенадцатой части нормативного пробега транспортных средств 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-го вида транспорта 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>-го перевозчика по маршрутам в городском сообщении согласно утвержденному расписанию в периоде регулирования (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норм гор 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="0079100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>/12) и принимается равным этой величине в случае превышения.».</w:t>
            </w:r>
          </w:p>
          <w:p w:rsidR="00D13643" w:rsidRPr="007751B8" w:rsidRDefault="007751B8" w:rsidP="007751B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 wp14:anchorId="18FA6FA3" wp14:editId="5A9988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200025"/>
                      <wp:effectExtent l="0" t="0" r="9525" b="9525"/>
                      <wp:wrapNone/>
                      <wp:docPr id="3" name="Rectangl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0;width:9.7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751B8">
              <w:rPr>
                <w:rFonts w:ascii="Times New Roman" w:hAnsi="Times New Roman"/>
                <w:color w:val="000000"/>
                <w:sz w:val="28"/>
                <w:szCs w:val="28"/>
              </w:rPr>
              <w:t>2. Настоящее постановление вступает в силу со дня его подписания.</w:t>
            </w:r>
          </w:p>
        </w:tc>
      </w:tr>
      <w:tr w:rsidR="000D5EED">
        <w:trPr>
          <w:trHeight w:val="309"/>
          <w:jc w:val="right"/>
        </w:trPr>
        <w:tc>
          <w:tcPr>
            <w:tcW w:w="2087" w:type="pct"/>
          </w:tcPr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0D5EED" w:rsidP="007910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2E2737" w:rsidP="0079100D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D5EE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Любимо</w:t>
            </w:r>
            <w:r w:rsidR="000D5EE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0D5EED">
        <w:trPr>
          <w:trHeight w:val="644"/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567" w:type="dxa"/>
              <w:right w:w="108" w:type="dxa"/>
            </w:tcMar>
          </w:tcPr>
          <w:p w:rsidR="000D5EED" w:rsidRPr="00683693" w:rsidRDefault="000D5EED">
            <w:pPr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Разослать: 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F449F4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CA" w:rsidRDefault="00FF03CA">
      <w:r>
        <w:separator/>
      </w:r>
    </w:p>
  </w:endnote>
  <w:endnote w:type="continuationSeparator" w:id="0">
    <w:p w:rsidR="00FF03CA" w:rsidRDefault="00FF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7751B8">
          <w:pPr>
            <w:pStyle w:val="a6"/>
          </w:pPr>
          <w:r>
            <w:rPr>
              <w:noProof/>
            </w:rPr>
            <w:drawing>
              <wp:inline distT="0" distB="0" distL="0" distR="0" wp14:anchorId="65609000" wp14:editId="4481445D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7751B8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E2880FF" wp14:editId="62E98EFA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F449F4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3863  07.05.2020 17:40:25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CA" w:rsidRDefault="00FF03CA">
      <w:r>
        <w:separator/>
      </w:r>
    </w:p>
  </w:footnote>
  <w:footnote w:type="continuationSeparator" w:id="0">
    <w:p w:rsidR="00FF03CA" w:rsidRDefault="00FF0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449F4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6" type="#_x0000_t75" style="width:22.2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+tRU6unaLO4XnS7WQQdIQ5lhR0=" w:salt="k4Vb5PdnTHYvAhrpwhblC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B8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445B"/>
    <w:rsid w:val="003870C2"/>
    <w:rsid w:val="00395A3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51B8"/>
    <w:rsid w:val="0079100D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F5F7C"/>
    <w:rsid w:val="00B02207"/>
    <w:rsid w:val="00B03403"/>
    <w:rsid w:val="00B100FE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49F4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  <w:rsid w:val="00FF03CA"/>
  </w:rsids>
  <m:mathPr>
    <m:mathFont m:val="Cambria Math"/>
    <m:brkBin m:val="after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751B8"/>
    <w:pPr>
      <w:widowControl w:val="0"/>
      <w:autoSpaceDE w:val="0"/>
      <w:autoSpaceDN w:val="0"/>
    </w:pPr>
    <w:rPr>
      <w:b/>
      <w:sz w:val="28"/>
    </w:rPr>
  </w:style>
  <w:style w:type="paragraph" w:customStyle="1" w:styleId="ConsPlusNormal">
    <w:name w:val="ConsPlusNormal"/>
    <w:rsid w:val="007751B8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751B8"/>
    <w:pPr>
      <w:widowControl w:val="0"/>
      <w:autoSpaceDE w:val="0"/>
      <w:autoSpaceDN w:val="0"/>
    </w:pPr>
    <w:rPr>
      <w:b/>
      <w:sz w:val="28"/>
    </w:rPr>
  </w:style>
  <w:style w:type="paragraph" w:customStyle="1" w:styleId="ConsPlusNormal">
    <w:name w:val="ConsPlusNormal"/>
    <w:rsid w:val="007751B8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55;&#1056;&#1040;&#1042;&#1048;&#1058;&#1045;&#1051;&#1068;&#1057;&#1058;&#1042;&#1040;_&#1051;&#1102;&#1073;&#1080;&#108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ПРАВИТЕЛЬСТВА_Любимов</Template>
  <TotalTime>13</TotalTime>
  <Pages>3</Pages>
  <Words>556</Words>
  <Characters>3386</Characters>
  <Application>Microsoft Office Word</Application>
  <DocSecurity>0</DocSecurity>
  <Lines>80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Лёксина М.А.</cp:lastModifiedBy>
  <cp:revision>5</cp:revision>
  <cp:lastPrinted>2008-04-23T08:17:00Z</cp:lastPrinted>
  <dcterms:created xsi:type="dcterms:W3CDTF">2020-04-29T08:17:00Z</dcterms:created>
  <dcterms:modified xsi:type="dcterms:W3CDTF">2020-05-07T14:40:00Z</dcterms:modified>
</cp:coreProperties>
</file>