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2.xml" ContentType="application/vnd.openxmlformats-officedocument.wordprocessingml.header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ind w:left="4111" w:hanging="0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Приложение </w:t>
      </w:r>
    </w:p>
    <w:p>
      <w:pPr>
        <w:pStyle w:val="Normal"/>
        <w:ind w:left="4111" w:hanging="0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к постановлению главного управления архитектуры и градостроительства </w:t>
      </w:r>
    </w:p>
    <w:p>
      <w:pPr>
        <w:pStyle w:val="Normal"/>
        <w:ind w:left="4111" w:hanging="0"/>
        <w:jc w:val="right"/>
        <w:rPr/>
      </w:pPr>
      <w:r>
        <w:rPr>
          <w:sz w:val="28"/>
          <w:szCs w:val="28"/>
          <w:lang w:val="ru-RU"/>
        </w:rPr>
        <w:t xml:space="preserve">Рязанской области </w:t>
      </w:r>
    </w:p>
    <w:p>
      <w:pPr>
        <w:pStyle w:val="Normal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</w:r>
    </w:p>
    <w:p>
      <w:pPr>
        <w:pStyle w:val="Normal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от 2020 г. № -п</w:t>
      </w:r>
    </w:p>
    <w:p>
      <w:pPr>
        <w:pStyle w:val="Normal"/>
        <w:ind w:left="4111" w:hanging="0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</w:r>
    </w:p>
    <w:p>
      <w:pPr>
        <w:pStyle w:val="Normal"/>
        <w:ind w:left="4111" w:hanging="0"/>
        <w:jc w:val="right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</w:r>
    </w:p>
    <w:p>
      <w:pPr>
        <w:pStyle w:val="Normal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Проект планировки территории и проект межевания территории земельных участков по адресу: Рязанской области, Скопинский район, с. Успенское</w:t>
      </w:r>
    </w:p>
    <w:p>
      <w:pPr>
        <w:pStyle w:val="Normal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</w:r>
    </w:p>
    <w:p>
      <w:pPr>
        <w:pStyle w:val="Normal"/>
        <w:numPr>
          <w:ilvl w:val="0"/>
          <w:numId w:val="6"/>
        </w:num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Проект планировки территории земельных участков по адресу: Рязанской области, Скопинский район, с. Успенское</w:t>
      </w:r>
    </w:p>
    <w:p>
      <w:pPr>
        <w:pStyle w:val="ConsPlusNormal"/>
        <w:ind w:hanging="11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</w:r>
    </w:p>
    <w:p>
      <w:pPr>
        <w:pStyle w:val="Normal"/>
        <w:jc w:val="center"/>
        <w:rPr>
          <w:rFonts w:eastAsia="Arial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1.1</w:t>
      </w:r>
      <w:r>
        <w:rPr>
          <w:rFonts w:eastAsia="Arial"/>
          <w:sz w:val="28"/>
          <w:szCs w:val="28"/>
          <w:lang w:val="ru-RU"/>
        </w:rPr>
        <w:t>. Краткая характеристика территории в границах проекта планировки</w:t>
      </w:r>
    </w:p>
    <w:p>
      <w:pPr>
        <w:pStyle w:val="Normal"/>
        <w:jc w:val="center"/>
        <w:rPr>
          <w:rFonts w:eastAsia="Arial"/>
          <w:sz w:val="28"/>
          <w:szCs w:val="28"/>
          <w:lang w:val="ru-RU"/>
        </w:rPr>
      </w:pPr>
      <w:r>
        <w:rPr>
          <w:rFonts w:eastAsia="Arial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Настоящий проект планировки территории с проектом межевания в его составе выполняется в целях установления границ зон планируемого размещения объектов капитального строительства, определения местоположения границ образуемых и изменяемых земельных участков для планируемого размещения комплекса объектов местного значения поселения.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 соответствии с настоящим проектом планировки территории предполагается размещение комплекса объектов на территории Скопинского муниципального района, Рязанской области.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 границах проекта планировки расположены земельные участки объектов жилой застройки, объектов транспортной и инженерной инфраструктуры. Использование территории на момент подготовки настоящего проекта не противоречит действующим Правилам землепользования и застройки муниципальных образований, на территории которого планируется размещение комплекса объектов, и соответствует решениям генерального плана Скопинского муниципального района, Рязанской области.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Функциональное использование зон, в границах которых планируется размещение комплекса объектов, не накладывает запрета на размещение такого объекта и составляет многофункциональная зона с видом разрешенного использования, Гостиничное обслуживание (4.7) – 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 границах территории настоящего проекта планировки определены следующие зоны с особыми условиями использования территорий: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- охранные зоны инженерных сетей и сооружений: охранная зона подземного газопровода высокого давления по 10 м с каждой стороны от газопровода;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Территории объектов культурного наследия, зоны охраны объектов культурного наследия на территории в границах настоящего проекта планировки отсутствуют.</w:t>
      </w:r>
    </w:p>
    <w:p>
      <w:pPr>
        <w:pStyle w:val="Normal"/>
        <w:numPr>
          <w:ilvl w:val="1"/>
          <w:numId w:val="6"/>
        </w:numPr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Красные линии и линии регулирования застройки</w:t>
      </w:r>
    </w:p>
    <w:p>
      <w:pPr>
        <w:pStyle w:val="Normal"/>
        <w:ind w:left="360" w:hanging="0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Настоящим проектом планировки территории для размещения комплекса объектов: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- в границах населённых пунктов предусматривается установление красных линий в границы территорий общего пользования. Красные линии в границах населённых пунктов могут быть уточнены (изменены) при подготовке проектов планировки территории, подготавливаемыми для элементов планировочной структуры этих населённых пунктов, с сохранением минимального расстояния, установленного настоящим проектом планировки территории.</w:t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Нормативные минимальные отступы от красных линий для размещения объектов капитального строительства устанавливаются правилами землепользования и застройки соответствующих муниципальных образований.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1.3. Планируемые к размещению объекты капитального строительства, иные объекты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numPr>
          <w:ilvl w:val="0"/>
          <w:numId w:val="10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Объекты гостиничного комплекса:</w:t>
      </w:r>
    </w:p>
    <w:p>
      <w:pPr>
        <w:pStyle w:val="Normal"/>
        <w:numPr>
          <w:ilvl w:val="0"/>
          <w:numId w:val="8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Гостиница на 20 мест;</w:t>
      </w:r>
    </w:p>
    <w:p>
      <w:pPr>
        <w:pStyle w:val="Normal"/>
        <w:numPr>
          <w:ilvl w:val="0"/>
          <w:numId w:val="8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Блокированные дома на 6 квартир;</w:t>
      </w:r>
    </w:p>
    <w:p>
      <w:pPr>
        <w:pStyle w:val="Normal"/>
        <w:numPr>
          <w:ilvl w:val="0"/>
          <w:numId w:val="8"/>
        </w:numPr>
        <w:jc w:val="both"/>
        <w:rPr/>
      </w:pPr>
      <w:r>
        <w:rPr>
          <w:rFonts w:eastAsia="Calibri"/>
          <w:sz w:val="28"/>
          <w:szCs w:val="28"/>
          <w:lang w:val="ru-RU"/>
        </w:rPr>
        <w:t>ФОК.</w:t>
      </w:r>
    </w:p>
    <w:p>
      <w:pPr>
        <w:pStyle w:val="Normal"/>
        <w:numPr>
          <w:ilvl w:val="0"/>
          <w:numId w:val="10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Объекты сфера обслуживания:</w:t>
      </w:r>
    </w:p>
    <w:p>
      <w:pPr>
        <w:pStyle w:val="Normal"/>
        <w:numPr>
          <w:ilvl w:val="0"/>
          <w:numId w:val="2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Коммунально-бытовые здание;</w:t>
      </w:r>
    </w:p>
    <w:p>
      <w:pPr>
        <w:pStyle w:val="Normal"/>
        <w:numPr>
          <w:ilvl w:val="0"/>
          <w:numId w:val="2"/>
        </w:numPr>
        <w:jc w:val="both"/>
        <w:rPr/>
      </w:pPr>
      <w:r>
        <w:rPr>
          <w:rFonts w:eastAsia="Calibri"/>
          <w:sz w:val="28"/>
          <w:szCs w:val="28"/>
          <w:lang w:val="ru-RU"/>
        </w:rPr>
        <w:t>ТП.</w:t>
      </w:r>
    </w:p>
    <w:p>
      <w:pPr>
        <w:pStyle w:val="Normal"/>
        <w:numPr>
          <w:ilvl w:val="0"/>
          <w:numId w:val="10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Зоны отдыха:</w:t>
      </w:r>
    </w:p>
    <w:p>
      <w:pPr>
        <w:pStyle w:val="Normal"/>
        <w:numPr>
          <w:ilvl w:val="0"/>
          <w:numId w:val="9"/>
        </w:numPr>
        <w:jc w:val="both"/>
        <w:rPr/>
      </w:pPr>
      <w:r>
        <w:rPr>
          <w:rFonts w:eastAsia="Calibri"/>
          <w:sz w:val="28"/>
          <w:szCs w:val="28"/>
          <w:lang w:val="ru-RU"/>
        </w:rPr>
        <w:t>Сквер;</w:t>
      </w:r>
    </w:p>
    <w:p>
      <w:pPr>
        <w:pStyle w:val="Normal"/>
        <w:numPr>
          <w:ilvl w:val="0"/>
          <w:numId w:val="9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Парковая зона;</w:t>
      </w:r>
    </w:p>
    <w:p>
      <w:pPr>
        <w:pStyle w:val="Normal"/>
        <w:numPr>
          <w:ilvl w:val="0"/>
          <w:numId w:val="9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Зона барбекю.</w:t>
      </w:r>
    </w:p>
    <w:p>
      <w:pPr>
        <w:pStyle w:val="Normal"/>
        <w:numPr>
          <w:ilvl w:val="0"/>
          <w:numId w:val="10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Линейные объекты:</w:t>
      </w:r>
    </w:p>
    <w:p>
      <w:pPr>
        <w:pStyle w:val="Normal"/>
        <w:numPr>
          <w:ilvl w:val="0"/>
          <w:numId w:val="5"/>
        </w:numPr>
        <w:jc w:val="both"/>
        <w:rPr/>
      </w:pPr>
      <w:r>
        <w:rPr>
          <w:rFonts w:eastAsia="Calibri"/>
          <w:sz w:val="28"/>
          <w:szCs w:val="28"/>
          <w:lang w:val="ru-RU"/>
        </w:rPr>
        <w:t>Равнозначные автомобильные дороги;</w:t>
      </w:r>
    </w:p>
    <w:p>
      <w:pPr>
        <w:pStyle w:val="Normal"/>
        <w:numPr>
          <w:ilvl w:val="0"/>
          <w:numId w:val="5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Главная дорога.</w:t>
      </w:r>
    </w:p>
    <w:p>
      <w:pPr>
        <w:pStyle w:val="Normal"/>
        <w:ind w:left="709" w:hanging="0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На всем протяжении трасса имеет искусственное освещение.</w:t>
      </w:r>
    </w:p>
    <w:p>
      <w:pPr>
        <w:pStyle w:val="Normal"/>
        <w:numPr>
          <w:ilvl w:val="0"/>
          <w:numId w:val="10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Спортивные площадки:</w:t>
      </w:r>
    </w:p>
    <w:p>
      <w:pPr>
        <w:pStyle w:val="Normal"/>
        <w:numPr>
          <w:ilvl w:val="0"/>
          <w:numId w:val="3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баскетбол – 1 площадка с размерами, соответствующие минимальным размерам 26 х 14 м по требованиям Международной федерации баскетбольных ассоциаций (ФИБА), имеют право утвердить существующие игровые площадки;  </w:t>
      </w:r>
    </w:p>
    <w:p>
      <w:pPr>
        <w:pStyle w:val="Normal"/>
        <w:numPr>
          <w:ilvl w:val="0"/>
          <w:numId w:val="3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теннис –площадки;</w:t>
      </w:r>
    </w:p>
    <w:p>
      <w:pPr>
        <w:pStyle w:val="Normal"/>
        <w:ind w:left="709" w:hanging="0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Теннисный корт включает площадку 24,0 х 11,0 м и площадь с забегами до ограждения;</w:t>
      </w:r>
    </w:p>
    <w:p>
      <w:pPr>
        <w:pStyle w:val="Normal"/>
        <w:numPr>
          <w:ilvl w:val="0"/>
          <w:numId w:val="11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детская площадка – площадь 450,0 м</w:t>
      </w:r>
      <w:r>
        <w:rPr>
          <w:rFonts w:eastAsia="Calibri"/>
          <w:sz w:val="28"/>
          <w:szCs w:val="28"/>
          <w:vertAlign w:val="superscript"/>
          <w:lang w:val="ru-RU"/>
        </w:rPr>
        <w:t>2</w:t>
      </w:r>
      <w:r>
        <w:rPr>
          <w:rFonts w:eastAsia="Calibri"/>
          <w:sz w:val="28"/>
          <w:szCs w:val="28"/>
          <w:lang w:val="ru-RU"/>
        </w:rPr>
        <w:t>;</w:t>
      </w:r>
    </w:p>
    <w:p>
      <w:pPr>
        <w:pStyle w:val="Normal"/>
        <w:numPr>
          <w:ilvl w:val="0"/>
          <w:numId w:val="11"/>
        </w:numPr>
        <w:jc w:val="both"/>
        <w:rPr/>
      </w:pPr>
      <w:r>
        <w:rPr>
          <w:rFonts w:eastAsia="Calibri"/>
          <w:sz w:val="28"/>
          <w:szCs w:val="28"/>
          <w:lang w:val="ru-RU"/>
        </w:rPr>
        <w:t>футбол -  1 спортивное ядро.</w:t>
      </w:r>
    </w:p>
    <w:p>
      <w:pPr>
        <w:pStyle w:val="Normal"/>
        <w:numPr>
          <w:ilvl w:val="0"/>
          <w:numId w:val="10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Гостевая автостоянка на 35 машиномест – 425,0 м</w:t>
      </w:r>
      <w:r>
        <w:rPr>
          <w:rFonts w:eastAsia="Calibri"/>
          <w:sz w:val="28"/>
          <w:szCs w:val="28"/>
          <w:vertAlign w:val="superscript"/>
          <w:lang w:val="ru-RU"/>
        </w:rPr>
        <w:t>2</w:t>
      </w:r>
      <w:r>
        <w:rPr>
          <w:rFonts w:eastAsia="Calibri"/>
          <w:sz w:val="28"/>
          <w:szCs w:val="28"/>
          <w:lang w:val="ru-RU"/>
        </w:rPr>
        <w:t>.</w:t>
      </w:r>
    </w:p>
    <w:p>
      <w:pPr>
        <w:pStyle w:val="Normal"/>
        <w:ind w:left="709" w:hanging="0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left="709" w:hanging="0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1.4. Характеристика развития систем транспортного обслуживания</w:t>
      </w:r>
    </w:p>
    <w:p>
      <w:pPr>
        <w:pStyle w:val="Normal"/>
        <w:ind w:left="709" w:hanging="0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Транспортное обслуживание проектируемой зоны гостиничного комплекса выполнено согласно эскизного проекта, предоставленного заказчиком, данная зона имеет обособленную структуру с ограничением въезда на территорию.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На севере и юге осуществлено примыкание проектируемой дорожной сети гостиничного комплекса, к существующей автомобильной дорожной сети            с. Успенское. 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Ширина проектируемой главной улицы принята 11, проезжей части 7 м. </w:t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Вдоль проектируемых проездов предусмотрено наружное освещение. Предусмотрены дополнительные открытые стоянки для временного хранения легковых автомобилей.</w:t>
      </w:r>
    </w:p>
    <w:p>
      <w:pPr>
        <w:pStyle w:val="Normal"/>
        <w:numPr>
          <w:ilvl w:val="0"/>
          <w:numId w:val="4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Автостоянка на 35 машиномест (у гостиницы).</w:t>
      </w:r>
    </w:p>
    <w:p>
      <w:pPr>
        <w:pStyle w:val="Normal"/>
        <w:ind w:left="709" w:hanging="0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1.5. Характеристика развития систем социального обслуживания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Настоящий проект предусматривает размещение комплекса объектов частной территории ограниченного доступа. В связи с особенностями проекта планировки территории, предусматривающих размещение объектов направленных на обслуживание работников «ОКТАФАРМА-ФАРМИМЭКС», вопросы характеристики и развития территории в части развития систем социального обслуживания при подготовке настоящего проекта планировки не рассматривались.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1.6. Характеристика развития системы инженерно-технического обеспечения. Характеристика развития системы инженерно-технического обеспечения.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Водоснабжение.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Проектные решения по водоснабжению объектов на территории коттеджного поселка разработаны согласно заданию на проектирование и, в соответствии с требованиями СНиП 2.04.01-85*, СНиП 2.04.02-84, СанПиН 2.1.4.544-96 «Требования к качеству воды нецентрализованного водоснабжения. Санитарная охрана источников».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Водоснабжение общественной и хозяйственной зоны предусматривается от сетей водопровода с. Успенское.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Водоотведение.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Проектные решения по водоотведению от объектов на территории гостиничного комплекса разработаны согласно заданию на проектирование и, в соответствии с требованиями СНиП 2.04.01-85*, СНиП 2.04.03-8.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Водоотведение предусмотрено в существующую сеть с. Успенского.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Электроснабжение.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Раздел «Электроснабжение» проекта планировки территории выполнен на основании информации о возможности электроснабжения проектируемой площадки, а также о возможных максимальных нагрузок электрической мощности, которые могут быть поданы на данную площадку.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Для определения расчетной электрической нагрузки по объекту необходимо определить суммарную расчетную мощность всех потребителей электроэнергии.  </w:t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Значения электрических нагрузок подлежат уточнению на стадии рабочего проектирования.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Для обеспечения электроснабжения планируемой территории потребуется:</w:t>
      </w:r>
    </w:p>
    <w:p>
      <w:pPr>
        <w:pStyle w:val="Normal"/>
        <w:numPr>
          <w:ilvl w:val="0"/>
          <w:numId w:val="4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построить на планируемой территории трансформаторную подстанцию;</w:t>
      </w:r>
    </w:p>
    <w:p>
      <w:pPr>
        <w:pStyle w:val="Normal"/>
        <w:numPr>
          <w:ilvl w:val="0"/>
          <w:numId w:val="4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предусмотреть резервный генератор на случай ЧС;</w:t>
      </w:r>
    </w:p>
    <w:p>
      <w:pPr>
        <w:pStyle w:val="Normal"/>
        <w:numPr>
          <w:ilvl w:val="0"/>
          <w:numId w:val="4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запитать ТП двумя взаиморезервируемыми кабелями от местных сетей 10 кВ.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Сечение силовых кабелей среднего напряжения необходимо произвести на основании расчетов: по длительно-допустимому току нагрузки, экономической плотности токов и проверить на термическую стойкость к токам КЗ. Так же нужно учесть отклоняющие факторы: влияние окружающей температуры, способ прокладки и предполагаемой/фактической длины. 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Для наружного освещения застраиваемой территории применяются светильники с лампами ДНаТ типа ЖКУ или РТУ, устанавливаемые на железобетонные или металлические опоры. При ширена дорог в среднем 7 м и для обеспечения необходимого уровня освещенности (2 Лк) опоры освещения располагаются по одной стороне дороги. Расстояние между опорами 50 м.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Сеть наружного освещения может быть воздушная, выполненная проводом СИП-2а «Торсада», или кабельная.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Уточнение проектных решений, трасс прокладки кабелей, количества и сечений кабелей производится на стадии рабочего проектирования.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В целях полной реализации Федерального закона от 23 ноября 2009 г. № 261-ФЗ «Об энергосбережении и повышении энергетической эффективности и о внесении изменений в отдельные законодательные акты Российской Федерации» все здания, строения, сооружения, вводные в эксплуатацию, должны быть оснащены приборами учета.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Проект внешнего электроснабжения объекта должен быть согласован с электрическими сетями.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Газоснабжение.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Раздел «Газоснабжение» проекта планировки территории выполнен на основании информации о возможности газоснабжение проектируемой площадки.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Для определения расчетной потребности газоснабжение по объекту необходимо выполнить расчет тепла и топлива. 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Для обеспечения газоснабжения планируемой территории потребуется:</w:t>
      </w:r>
    </w:p>
    <w:p>
      <w:pPr>
        <w:pStyle w:val="Normal"/>
        <w:numPr>
          <w:ilvl w:val="0"/>
          <w:numId w:val="7"/>
        </w:numPr>
        <w:jc w:val="both"/>
        <w:rPr/>
      </w:pPr>
      <w:r>
        <w:rPr>
          <w:rFonts w:eastAsia="Calibri"/>
          <w:sz w:val="28"/>
          <w:szCs w:val="28"/>
          <w:lang w:val="ru-RU"/>
        </w:rPr>
        <w:t>построить на планируемой территории шкаф газовый распределительный понижающий (ШГРП);</w:t>
      </w:r>
    </w:p>
    <w:p>
      <w:pPr>
        <w:pStyle w:val="Normal"/>
        <w:numPr>
          <w:ilvl w:val="0"/>
          <w:numId w:val="7"/>
        </w:numPr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подвести газ к ШГРП от местных газовых сетей среднего давления.</w:t>
      </w:r>
    </w:p>
    <w:p>
      <w:pPr>
        <w:pStyle w:val="Normal"/>
        <w:ind w:left="709" w:hanging="0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left="709" w:hanging="0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1.7. Фактические показатели территориальной доступности для населения</w:t>
      </w:r>
    </w:p>
    <w:p>
      <w:pPr>
        <w:pStyle w:val="Normal"/>
        <w:ind w:left="709" w:hanging="0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Мероприятия по созданию доступной среды для МГН и инвалидов.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Главная задача при формировании среды жизнедеятельности инвалидов и престарелых граждан - полная их интеграция в общественную жизнь. Созданы условия, обеспечивающие доступность маломобильных групп населения практически по всем видам обслуживания.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Строительство жилых зданий и сооружений предполагается выполнить с учетом потребностей инвалидов, т.е. оборудовать входы жилых зданий и учреждений общественного назначения подъемными средствами (электрическими или механическими подъемниками, съемными или стационарными пандусами). Подходы к лифтам не должны иметь ступеней и порогов, ширина проходов дверей, габариты тамбуров должны быть предусмотрены с учетом передвижения инвалидов в креслах-колясках. Устройство наружных пандусов должно предусматривается с уклоном 8%. Для открытых лестниц на перепадах рельефа должна быть принята ширина проступей не менее 0,4 м, высота ступеней - не более 0,12 м. Все ступени наружных лестниц должны выполняться с одинаковой геометрией.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 проектах должны быть предусмотрены условия беспрепятственного и удобного передвижения МГН по участку к зданиям.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Все территории должны иметь понижающие пандусы для съезда и подъема на уровень отметки тротуаров, площадок для отдыха и др. площадок. Ширина тротуаров принята 2,25 м по улицам и 1,5 м во дворах.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Продольный уклон пути движения, по которому возможен проезд инвалидов на креслах-колясках, как правило, не должен превышать 5 %. При устройстве съездов с тротуара около здания допускается увеличивать продольный уклон до 10%.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Поперечный уклон пути движения следует принимать в пределах 1—2 %. Высоту бордюров по краям пешеходных путей на участке рекомендуется принимать не менее 0,05 м.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Высота бортового камня в местах пересечения тротуаров с проезжей частью, а также перепад высот бордюров, бортовых камней вдоль эксплуатируемых газонов и озелененных площадок, примыкающих к путям пешеходного движения, не должны превышать 0,04 м.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Для покрытий пешеходных дорожек, тротуаров и пандусов не должны применяться насыпные или крупноструктурные материалы, препятствующие передвижению МГН на креслах-колясках или костылях. Покрытие из бетонных плит должно быть ровное, а толщина швов между плитами - не более 0,015 м.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Парковочные площадки, к встроенно-пристроенным помещениям и жилым домам проектируются в соответствии с требованиями п.9.17. РНГП РБ. На гостевых автостоянках, стоянках временной парковки транспорта предусмотрены места для парковки инвалидов с размерами в плане 3,5x5,0 м, не менее 10% от общего числа парковочных мест.</w:t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При разработке рабочей документации на отдельные объекты зданий и сооружений должны быть предусмотрены все необходимые мероприятия для доступа инвалидов в эти здания и удобства при пользовании.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1.8. Основные технико-экономические показатели проекта планировки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tbl>
      <w:tblPr>
        <w:tblW w:w="9763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-5" w:type="dxa"/>
          <w:bottom w:w="0" w:type="dxa"/>
          <w:right w:w="0" w:type="dxa"/>
        </w:tblCellMar>
      </w:tblPr>
      <w:tblGrid>
        <w:gridCol w:w="783"/>
        <w:gridCol w:w="4739"/>
        <w:gridCol w:w="1604"/>
        <w:gridCol w:w="1393"/>
        <w:gridCol w:w="1244"/>
      </w:tblGrid>
      <w:tr>
        <w:trPr>
          <w:trHeight w:val="697" w:hRule="exact"/>
        </w:trPr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auto" w:line="254" w:before="105" w:after="0"/>
              <w:ind w:left="229" w:right="225" w:firstLine="57"/>
              <w:rPr/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pacing w:val="-1"/>
                <w:sz w:val="20"/>
                <w:szCs w:val="20"/>
              </w:rPr>
              <w:t>п.п.</w:t>
            </w:r>
          </w:p>
        </w:tc>
        <w:tc>
          <w:tcPr>
            <w:tcW w:w="4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napToGrid w:val="false"/>
              <w:spacing w:lineRule="auto" w:line="254" w:before="10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1170" w:hanging="0"/>
              <w:rPr/>
            </w:pPr>
            <w:r>
              <w:rPr>
                <w:spacing w:val="-2"/>
                <w:sz w:val="20"/>
                <w:szCs w:val="20"/>
              </w:rPr>
              <w:t>Наименование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показателей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auto" w:line="254"/>
              <w:ind w:left="344" w:right="351" w:firstLine="76"/>
              <w:rPr/>
            </w:pPr>
            <w:r>
              <w:rPr>
                <w:spacing w:val="-2"/>
                <w:sz w:val="20"/>
                <w:szCs w:val="20"/>
              </w:rPr>
              <w:t>Единица</w:t>
            </w:r>
            <w:r>
              <w:rPr>
                <w:spacing w:val="2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измерения</w:t>
            </w:r>
          </w:p>
        </w:tc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auto" w:line="232"/>
              <w:ind w:left="258" w:right="124" w:hanging="135"/>
              <w:rPr/>
            </w:pPr>
            <w:r>
              <w:rPr>
                <w:spacing w:val="-2"/>
                <w:sz w:val="20"/>
                <w:szCs w:val="20"/>
              </w:rPr>
              <w:t>Современное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состояние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2019г.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auto" w:line="254"/>
              <w:ind w:left="416" w:right="158" w:hanging="264"/>
              <w:rPr/>
            </w:pPr>
            <w:r>
              <w:rPr>
                <w:spacing w:val="-2"/>
                <w:sz w:val="20"/>
                <w:szCs w:val="20"/>
              </w:rPr>
              <w:t>Расчетный</w:t>
            </w:r>
            <w:r>
              <w:rPr>
                <w:spacing w:val="23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срок</w:t>
            </w:r>
          </w:p>
        </w:tc>
      </w:tr>
      <w:tr>
        <w:trPr>
          <w:trHeight w:val="11975" w:hRule="exact"/>
        </w:trPr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exact" w:line="225"/>
              <w:ind w:right="55" w:hanging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98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1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1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74" w:after="0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1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2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4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1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3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1" w:after="0"/>
              <w:rPr>
                <w:rFonts w:ascii="Cambria" w:hAnsi="Cambria" w:cs="Cambria"/>
                <w:b/>
                <w:b/>
                <w:bCs/>
                <w:sz w:val="17"/>
                <w:szCs w:val="17"/>
              </w:rPr>
            </w:pPr>
            <w:r>
              <w:rPr>
                <w:rFonts w:cs="Cambria" w:ascii="Cambria" w:hAnsi="Cambria"/>
                <w:b/>
                <w:bCs/>
                <w:sz w:val="17"/>
                <w:szCs w:val="17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1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4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1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5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1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6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4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55" w:hanging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4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2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1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2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2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2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210" w:right="249" w:firstLine="36"/>
              <w:jc w:val="center"/>
              <w:rPr/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pacing w:val="-3"/>
                <w:sz w:val="20"/>
                <w:szCs w:val="20"/>
              </w:rPr>
              <w:t>п.п.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pacing w:val="-3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pacing w:val="-3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9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55" w:hanging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0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3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1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4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3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4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exact" w:line="225"/>
              <w:ind w:right="229" w:hanging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pacing w:val="-2"/>
                <w:sz w:val="20"/>
                <w:szCs w:val="20"/>
              </w:rPr>
              <w:t>Территория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880" w:hanging="0"/>
              <w:rPr/>
            </w:pPr>
            <w:r>
              <w:rPr>
                <w:spacing w:val="-2"/>
                <w:sz w:val="20"/>
                <w:szCs w:val="20"/>
              </w:rPr>
              <w:t>Площадь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проектируемой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территории-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37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</w:t>
            </w:r>
            <w:r>
              <w:rPr>
                <w:spacing w:val="-3"/>
                <w:sz w:val="20"/>
                <w:szCs w:val="20"/>
              </w:rPr>
              <w:t xml:space="preserve"> том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числе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территории: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56" w:right="1163" w:hanging="0"/>
              <w:rPr/>
            </w:pPr>
            <w:r>
              <w:rPr>
                <w:spacing w:val="-2"/>
                <w:sz w:val="20"/>
                <w:szCs w:val="20"/>
              </w:rPr>
              <w:t>Площадь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перспективной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застройки</w:t>
            </w:r>
            <w:r>
              <w:rPr>
                <w:spacing w:val="3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Площадь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ограниченной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застройки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1103" w:right="556" w:hanging="548"/>
              <w:rPr/>
            </w:pPr>
            <w:r>
              <w:rPr>
                <w:spacing w:val="-2"/>
                <w:sz w:val="20"/>
                <w:szCs w:val="20"/>
              </w:rPr>
              <w:t>жилых зон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(кварталы,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микрорайоны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 др.)</w:t>
            </w:r>
            <w:r>
              <w:rPr>
                <w:spacing w:val="29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из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них: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1103" w:right="808" w:hanging="0"/>
              <w:rPr/>
            </w:pPr>
            <w:r>
              <w:rPr>
                <w:spacing w:val="-2"/>
                <w:sz w:val="20"/>
                <w:szCs w:val="20"/>
              </w:rPr>
              <w:t>многоэтажная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застройка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(6-12эт)</w:t>
            </w:r>
            <w:r>
              <w:rPr>
                <w:spacing w:val="29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2-6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этажная</w:t>
            </w:r>
            <w:r>
              <w:rPr>
                <w:spacing w:val="-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застройка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03" w:right="377" w:hanging="0"/>
              <w:rPr/>
            </w:pPr>
            <w:r>
              <w:rPr>
                <w:spacing w:val="-2"/>
                <w:sz w:val="20"/>
                <w:szCs w:val="20"/>
              </w:rPr>
              <w:t>объектов</w:t>
            </w:r>
            <w:r>
              <w:rPr>
                <w:spacing w:val="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социального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r>
              <w:rPr>
                <w:spacing w:val="-1"/>
                <w:sz w:val="20"/>
                <w:szCs w:val="20"/>
              </w:rPr>
              <w:t>культурно-бытового</w:t>
            </w:r>
            <w:r>
              <w:rPr>
                <w:spacing w:val="3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обслуживания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населения</w:t>
            </w:r>
          </w:p>
          <w:p>
            <w:pPr>
              <w:pStyle w:val="TableParagraph"/>
              <w:kinsoku w:val="false"/>
              <w:overflowPunct w:val="false"/>
              <w:spacing w:lineRule="exact" w:line="226"/>
              <w:ind w:left="503" w:hanging="0"/>
              <w:rPr/>
            </w:pPr>
            <w:r>
              <w:rPr>
                <w:spacing w:val="-2"/>
                <w:sz w:val="20"/>
                <w:szCs w:val="20"/>
              </w:rPr>
              <w:t>рекреационных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зон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ind w:left="478" w:right="1454" w:firstLine="24"/>
              <w:rPr/>
            </w:pPr>
            <w:r>
              <w:rPr>
                <w:spacing w:val="-2"/>
                <w:sz w:val="20"/>
                <w:szCs w:val="20"/>
              </w:rPr>
              <w:t>зон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инженерной</w:t>
            </w:r>
            <w:r>
              <w:rPr>
                <w:sz w:val="20"/>
                <w:szCs w:val="20"/>
              </w:rPr>
              <w:t xml:space="preserve"> и </w:t>
            </w:r>
            <w:r>
              <w:rPr>
                <w:spacing w:val="-2"/>
                <w:sz w:val="20"/>
                <w:szCs w:val="20"/>
              </w:rPr>
              <w:t>транспортной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инфраструктур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производственных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зон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03" w:hanging="0"/>
              <w:rPr/>
            </w:pPr>
            <w:r>
              <w:rPr>
                <w:spacing w:val="-2"/>
                <w:sz w:val="20"/>
                <w:szCs w:val="20"/>
              </w:rPr>
              <w:t>иных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зон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200" w:hanging="0"/>
              <w:rPr/>
            </w:pPr>
            <w:r>
              <w:rPr>
                <w:spacing w:val="-1"/>
                <w:sz w:val="20"/>
                <w:szCs w:val="20"/>
              </w:rPr>
              <w:t>Из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общей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площади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проектируемого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района</w:t>
            </w:r>
            <w:r>
              <w:rPr>
                <w:spacing w:val="8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участки</w:t>
            </w:r>
            <w:r>
              <w:rPr>
                <w:spacing w:val="37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автостоянок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для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постоянного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хранения</w:t>
            </w:r>
            <w:r>
              <w:rPr>
                <w:spacing w:val="3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индивидуального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автотранспорта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924" w:hanging="0"/>
              <w:rPr/>
            </w:pPr>
            <w:r>
              <w:rPr>
                <w:spacing w:val="-1"/>
                <w:sz w:val="20"/>
                <w:szCs w:val="20"/>
              </w:rPr>
              <w:t>Из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общей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площади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проектируемого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района</w:t>
            </w:r>
            <w:r>
              <w:rPr>
                <w:spacing w:val="37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территории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общего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пользования-всего</w:t>
            </w:r>
          </w:p>
          <w:p>
            <w:pPr>
              <w:pStyle w:val="TableParagraph"/>
              <w:kinsoku w:val="false"/>
              <w:overflowPunct w:val="false"/>
              <w:spacing w:lineRule="exact" w:line="228"/>
              <w:ind w:left="99" w:hanging="0"/>
              <w:rPr/>
            </w:pPr>
            <w:r>
              <w:rPr>
                <w:spacing w:val="-1"/>
                <w:sz w:val="20"/>
                <w:szCs w:val="20"/>
              </w:rPr>
              <w:t>Из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них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03" w:right="695" w:hanging="0"/>
              <w:rPr/>
            </w:pPr>
            <w:r>
              <w:rPr>
                <w:spacing w:val="-2"/>
                <w:sz w:val="20"/>
                <w:szCs w:val="20"/>
              </w:rPr>
              <w:t>зеленые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насаждения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общего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пользования</w:t>
            </w:r>
            <w:r>
              <w:rPr>
                <w:spacing w:val="27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улицы,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дороги,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проезды,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площади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800" w:firstLine="403"/>
              <w:rPr/>
            </w:pPr>
            <w:r>
              <w:rPr>
                <w:spacing w:val="-2"/>
                <w:sz w:val="20"/>
                <w:szCs w:val="20"/>
              </w:rPr>
              <w:t>прочие</w:t>
            </w:r>
            <w:r>
              <w:rPr>
                <w:spacing w:val="-1"/>
                <w:sz w:val="20"/>
                <w:szCs w:val="20"/>
              </w:rPr>
              <w:t xml:space="preserve"> территории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общего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пользования</w:t>
            </w:r>
            <w:r>
              <w:rPr>
                <w:spacing w:val="27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Коэффициент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застройки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1605" w:hanging="0"/>
              <w:rPr/>
            </w:pPr>
            <w:r>
              <w:rPr>
                <w:spacing w:val="-2"/>
                <w:sz w:val="20"/>
                <w:szCs w:val="20"/>
              </w:rPr>
              <w:t>Коэффициент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плотности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застройки</w:t>
            </w:r>
            <w:r>
              <w:rPr>
                <w:spacing w:val="39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Из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общей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территории: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rFonts w:ascii="Cambria" w:hAnsi="Cambria" w:cs="Cambria"/>
                <w:b/>
                <w:b/>
                <w:bCs/>
                <w:spacing w:val="-2"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pacing w:val="-2"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51" w:right="889" w:hanging="0"/>
              <w:rPr/>
            </w:pPr>
            <w:r>
              <w:rPr>
                <w:spacing w:val="-1"/>
                <w:sz w:val="20"/>
                <w:szCs w:val="20"/>
              </w:rPr>
              <w:t>земли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государственной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собственности</w:t>
            </w:r>
            <w:r>
              <w:rPr>
                <w:spacing w:val="31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земли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муниципальной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собственности</w:t>
            </w:r>
            <w:r>
              <w:rPr>
                <w:spacing w:val="31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земли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частной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собственности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rFonts w:ascii="Cambria" w:hAnsi="Cambria" w:cs="Cambria"/>
                <w:b/>
                <w:b/>
                <w:bCs/>
                <w:spacing w:val="-2"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pacing w:val="-2"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67" w:hanging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pacing w:val="-2"/>
                <w:sz w:val="20"/>
                <w:szCs w:val="20"/>
              </w:rPr>
              <w:t>Население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4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/>
            </w:pPr>
            <w:r>
              <w:rPr>
                <w:spacing w:val="-2"/>
                <w:sz w:val="20"/>
                <w:szCs w:val="20"/>
              </w:rPr>
              <w:t>Численность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населения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/>
            </w:pPr>
            <w:r>
              <w:rPr>
                <w:spacing w:val="-2"/>
                <w:sz w:val="20"/>
                <w:szCs w:val="20"/>
              </w:rPr>
              <w:t>Плотность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населения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</w:t>
            </w:r>
            <w:r>
              <w:rPr>
                <w:spacing w:val="3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границах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ППТ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pacing w:val="-2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8" w:hanging="0"/>
              <w:jc w:val="center"/>
              <w:rPr/>
            </w:pPr>
            <w:r>
              <w:rPr>
                <w:spacing w:val="-2"/>
                <w:sz w:val="20"/>
                <w:szCs w:val="20"/>
              </w:rPr>
              <w:t>Наименование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показателей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pacing w:val="-2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9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75" w:hanging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pacing w:val="-2"/>
                <w:sz w:val="20"/>
                <w:szCs w:val="20"/>
              </w:rPr>
              <w:t>Жилищный</w:t>
            </w:r>
            <w:r>
              <w:rPr>
                <w:b/>
                <w:bCs/>
                <w:spacing w:val="-4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1"/>
                <w:sz w:val="20"/>
                <w:szCs w:val="20"/>
              </w:rPr>
              <w:t>фонд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0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/>
            </w:pPr>
            <w:r>
              <w:rPr>
                <w:spacing w:val="-1"/>
                <w:sz w:val="20"/>
                <w:szCs w:val="20"/>
              </w:rPr>
              <w:t>Общая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площадь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жилых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домов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pacing w:val="-3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pacing w:val="-3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4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/>
            </w:pPr>
            <w:r>
              <w:rPr>
                <w:spacing w:val="-2"/>
                <w:sz w:val="20"/>
                <w:szCs w:val="20"/>
              </w:rPr>
              <w:t>Средняя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этажность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застройки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napToGrid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5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480"/>
              <w:ind w:left="609" w:right="607" w:hanging="5"/>
              <w:rPr/>
            </w:pPr>
            <w:r>
              <w:rPr>
                <w:spacing w:val="-2"/>
                <w:sz w:val="20"/>
                <w:szCs w:val="20"/>
              </w:rPr>
              <w:t>га</w:t>
            </w:r>
            <w:r>
              <w:rPr>
                <w:spacing w:val="19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м.кв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37" w:after="0"/>
              <w:ind w:right="21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%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1" w:after="0"/>
              <w:rPr>
                <w:rFonts w:ascii="Cambria" w:hAnsi="Cambria" w:cs="Cambria"/>
                <w:b/>
                <w:b/>
                <w:bCs/>
                <w:sz w:val="17"/>
                <w:szCs w:val="17"/>
              </w:rPr>
            </w:pPr>
            <w:r>
              <w:rPr>
                <w:rFonts w:cs="Cambria" w:ascii="Cambria" w:hAnsi="Cambria"/>
                <w:b/>
                <w:bCs/>
                <w:sz w:val="17"/>
                <w:szCs w:val="17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878" w:hanging="0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чел.</w:t>
            </w:r>
            <w:r>
              <w:rPr>
                <w:spacing w:val="2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чел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6"/>
                <w:sz w:val="20"/>
                <w:szCs w:val="20"/>
              </w:rPr>
              <w:t>га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2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253" w:right="351" w:firstLine="168"/>
              <w:rPr/>
            </w:pPr>
            <w:r>
              <w:rPr>
                <w:spacing w:val="-2"/>
                <w:sz w:val="20"/>
                <w:szCs w:val="20"/>
              </w:rPr>
              <w:t>Единица</w:t>
            </w:r>
            <w:r>
              <w:rPr>
                <w:spacing w:val="2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измерения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pacing w:val="-2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hanging="82"/>
              <w:jc w:val="center"/>
              <w:rPr/>
            </w:pPr>
            <w:r>
              <w:rPr>
                <w:spacing w:val="-2"/>
                <w:sz w:val="20"/>
                <w:szCs w:val="20"/>
              </w:rPr>
              <w:t>тыс.м.кв.</w:t>
            </w:r>
            <w:r>
              <w:rPr>
                <w:spacing w:val="26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общ.площади</w:t>
            </w:r>
            <w:r>
              <w:rPr>
                <w:spacing w:val="3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квартир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82" w:hanging="0"/>
              <w:jc w:val="center"/>
              <w:rPr>
                <w:spacing w:val="-1"/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этаж</w:t>
            </w:r>
          </w:p>
        </w:tc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napToGrid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rFonts w:ascii="Cambria" w:hAnsi="Cambria" w:cs="Cambria"/>
                <w:b/>
                <w:b/>
                <w:bCs/>
                <w:sz w:val="16"/>
                <w:szCs w:val="16"/>
              </w:rPr>
            </w:pPr>
            <w:r>
              <w:rPr>
                <w:rFonts w:cs="Cambria" w:ascii="Cambria" w:hAnsi="Cambria"/>
                <w:b/>
                <w:bCs/>
                <w:sz w:val="16"/>
                <w:szCs w:val="16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м.кв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61" w:after="0"/>
              <w:ind w:left="99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%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%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78" w:after="0"/>
              <w:ind w:left="258" w:right="124" w:hanging="135"/>
              <w:rPr/>
            </w:pPr>
            <w:r>
              <w:rPr>
                <w:spacing w:val="-2"/>
                <w:sz w:val="20"/>
                <w:szCs w:val="20"/>
              </w:rPr>
              <w:t>Современное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состояние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2008г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napToGrid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5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8,5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/>
            </w:pPr>
            <w:r>
              <w:rPr>
                <w:sz w:val="20"/>
                <w:szCs w:val="20"/>
              </w:rPr>
              <w:t>79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413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jc w:val="center"/>
              <w:rPr/>
            </w:pPr>
            <w:r>
              <w:rPr>
                <w:sz w:val="20"/>
                <w:szCs w:val="20"/>
              </w:rPr>
              <w:t>5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996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406" w:right="410" w:hang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- 9360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8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2680</w:t>
            </w:r>
          </w:p>
          <w:p>
            <w:pPr>
              <w:pStyle w:val="TableParagraph"/>
              <w:kinsoku w:val="false"/>
              <w:overflowPunct w:val="false"/>
              <w:spacing w:lineRule="exact" w:line="22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24985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ind w:left="358" w:right="35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- 10832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406" w:right="410" w:hang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- 1080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1968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18081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3830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480"/>
              <w:ind w:left="459" w:right="458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- 100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1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459" w:right="458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- 276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2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382" w:right="158" w:hanging="231"/>
              <w:rPr/>
            </w:pPr>
            <w:r>
              <w:rPr>
                <w:spacing w:val="-2"/>
                <w:sz w:val="20"/>
                <w:szCs w:val="20"/>
              </w:rPr>
              <w:t>Расчетный</w:t>
            </w:r>
            <w:r>
              <w:rPr>
                <w:spacing w:val="23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срок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pacing w:val="-3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pacing w:val="-3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rFonts w:ascii="Cambria" w:hAnsi="Cambria" w:cs="Cambria"/>
                <w:b/>
                <w:b/>
                <w:bCs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rFonts w:ascii="Cambria" w:hAnsi="Cambria" w:cs="Cambria"/>
                <w:b/>
                <w:b/>
                <w:bCs/>
                <w:sz w:val="18"/>
                <w:szCs w:val="18"/>
              </w:rPr>
            </w:pPr>
            <w:r>
              <w:rPr>
                <w:rFonts w:cs="Cambria" w:ascii="Cambria" w:hAnsi="Cambria"/>
                <w:b/>
                <w:bCs/>
                <w:sz w:val="18"/>
                <w:szCs w:val="18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11,88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rFonts w:ascii="Cambria" w:hAnsi="Cambria" w:cs="Cambria"/>
                <w:b/>
                <w:b/>
                <w:bCs/>
                <w:sz w:val="19"/>
                <w:szCs w:val="19"/>
              </w:rPr>
            </w:pPr>
            <w:r>
              <w:rPr>
                <w:rFonts w:cs="Cambria" w:ascii="Cambria" w:hAnsi="Cambria"/>
                <w:b/>
                <w:bCs/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55" w:right="563" w:firstLine="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- 2</w:t>
            </w:r>
          </w:p>
        </w:tc>
      </w:tr>
    </w:tbl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tbl>
      <w:tblPr>
        <w:tblW w:w="9763" w:type="dxa"/>
        <w:jc w:val="center"/>
        <w:tblInd w:w="0" w:type="dxa"/>
        <w:tblBorders>
          <w:top w:val="single" w:sz="36" w:space="0" w:color="612322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-5" w:type="dxa"/>
          <w:bottom w:w="0" w:type="dxa"/>
          <w:right w:w="0" w:type="dxa"/>
        </w:tblCellMar>
      </w:tblPr>
      <w:tblGrid>
        <w:gridCol w:w="783"/>
        <w:gridCol w:w="4739"/>
        <w:gridCol w:w="1604"/>
        <w:gridCol w:w="1393"/>
        <w:gridCol w:w="1244"/>
      </w:tblGrid>
      <w:tr>
        <w:trPr>
          <w:trHeight w:val="13881" w:hRule="exact"/>
        </w:trPr>
        <w:tc>
          <w:tcPr>
            <w:tcW w:w="783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3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3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3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4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2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3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5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55" w:hanging="0"/>
              <w:jc w:val="center"/>
              <w:rPr>
                <w:b/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55" w:hanging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1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2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3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4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5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6ае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7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8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2" w:hanging="0"/>
              <w:jc w:val="center"/>
              <w:rPr/>
            </w:pPr>
            <w:r>
              <w:rPr>
                <w:spacing w:val="-5"/>
                <w:sz w:val="20"/>
                <w:szCs w:val="20"/>
              </w:rPr>
              <w:t>4</w:t>
            </w:r>
            <w:r>
              <w:rPr>
                <w:spacing w:val="2"/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9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pacing w:val="-1"/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4.10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pacing w:val="-1"/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4.11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b/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5.1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5.2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0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5.3</w:t>
            </w:r>
          </w:p>
        </w:tc>
        <w:tc>
          <w:tcPr>
            <w:tcW w:w="4739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auto" w:line="480"/>
              <w:ind w:left="99" w:right="589" w:hanging="0"/>
              <w:rPr/>
            </w:pPr>
            <w:r>
              <w:rPr>
                <w:spacing w:val="-2"/>
                <w:sz w:val="20"/>
                <w:szCs w:val="20"/>
              </w:rPr>
              <w:t>Существующий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сохраняемый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жилищный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фонд</w:t>
            </w:r>
            <w:r>
              <w:rPr>
                <w:spacing w:val="39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Убыль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жилищного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фонда-всего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7" w:after="0"/>
              <w:ind w:left="99" w:right="1356" w:hanging="0"/>
              <w:rPr/>
            </w:pPr>
            <w:r>
              <w:rPr>
                <w:spacing w:val="-2"/>
                <w:sz w:val="20"/>
                <w:szCs w:val="20"/>
              </w:rPr>
              <w:t>Новое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жилищное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строительство-всего</w:t>
            </w:r>
            <w:r>
              <w:rPr>
                <w:spacing w:val="55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</w:t>
            </w:r>
            <w:r>
              <w:rPr>
                <w:spacing w:val="-3"/>
                <w:sz w:val="20"/>
                <w:szCs w:val="20"/>
              </w:rPr>
              <w:t xml:space="preserve"> том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числе:</w:t>
            </w:r>
          </w:p>
          <w:p>
            <w:pPr>
              <w:pStyle w:val="TableParagraph"/>
              <w:kinsoku w:val="false"/>
              <w:overflowPunct w:val="false"/>
              <w:spacing w:lineRule="exact" w:line="226" w:before="6" w:after="0"/>
              <w:ind w:left="604" w:right="3015" w:hanging="0"/>
              <w:rPr/>
            </w:pPr>
            <w:r>
              <w:rPr>
                <w:spacing w:val="-2"/>
                <w:sz w:val="20"/>
                <w:szCs w:val="20"/>
              </w:rPr>
              <w:t>малоэтажное</w:t>
            </w:r>
            <w:r>
              <w:rPr>
                <w:spacing w:val="27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из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них: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604" w:right="467" w:hanging="0"/>
              <w:rPr/>
            </w:pPr>
            <w:r>
              <w:rPr>
                <w:spacing w:val="-2"/>
                <w:sz w:val="20"/>
                <w:szCs w:val="20"/>
              </w:rPr>
              <w:t>малоэтажные</w:t>
            </w:r>
            <w:r>
              <w:rPr>
                <w:spacing w:val="-1"/>
                <w:sz w:val="20"/>
                <w:szCs w:val="20"/>
              </w:rPr>
              <w:t xml:space="preserve"> жилые </w:t>
            </w:r>
            <w:r>
              <w:rPr>
                <w:spacing w:val="-2"/>
                <w:sz w:val="20"/>
                <w:szCs w:val="20"/>
              </w:rPr>
              <w:t>дома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</w:t>
            </w:r>
            <w:r>
              <w:rPr>
                <w:spacing w:val="-1"/>
                <w:sz w:val="20"/>
                <w:szCs w:val="20"/>
              </w:rPr>
              <w:t xml:space="preserve"> приквартир-</w:t>
            </w:r>
            <w:r>
              <w:rPr>
                <w:spacing w:val="29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ными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земельными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участками</w:t>
            </w:r>
            <w:r>
              <w:rPr>
                <w:spacing w:val="29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индивидуальные</w:t>
            </w:r>
            <w:r>
              <w:rPr>
                <w:spacing w:val="-1"/>
                <w:sz w:val="20"/>
                <w:szCs w:val="20"/>
              </w:rPr>
              <w:t xml:space="preserve"> жилые </w:t>
            </w:r>
            <w:r>
              <w:rPr>
                <w:spacing w:val="-2"/>
                <w:sz w:val="20"/>
                <w:szCs w:val="20"/>
              </w:rPr>
              <w:t>дома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приусадеб-</w:t>
            </w:r>
            <w:r>
              <w:rPr>
                <w:spacing w:val="23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ными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земельными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участками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56" w:right="2359" w:firstLine="48"/>
              <w:rPr/>
            </w:pPr>
            <w:r>
              <w:rPr>
                <w:spacing w:val="-2"/>
                <w:sz w:val="20"/>
                <w:szCs w:val="20"/>
              </w:rPr>
              <w:t>2-4-этажное</w:t>
            </w:r>
            <w:r>
              <w:rPr>
                <w:spacing w:val="28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Многоэтажное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(5-13)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6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1055" w:right="310" w:hanging="754"/>
              <w:rPr>
                <w:sz w:val="20"/>
                <w:szCs w:val="20"/>
              </w:rPr>
            </w:pPr>
            <w:r>
              <w:rPr>
                <w:b/>
                <w:bCs/>
                <w:spacing w:val="-2"/>
                <w:sz w:val="20"/>
                <w:szCs w:val="20"/>
              </w:rPr>
              <w:t>Объекты</w:t>
            </w:r>
            <w:r>
              <w:rPr>
                <w:b/>
                <w:bCs/>
                <w:spacing w:val="3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2"/>
                <w:sz w:val="20"/>
                <w:szCs w:val="20"/>
              </w:rPr>
              <w:t>социального</w:t>
            </w:r>
            <w:r>
              <w:rPr>
                <w:b/>
                <w:bCs/>
                <w:spacing w:val="-3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и</w:t>
            </w:r>
            <w:r>
              <w:rPr>
                <w:b/>
                <w:bCs/>
                <w:spacing w:val="1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2"/>
                <w:sz w:val="20"/>
                <w:szCs w:val="20"/>
              </w:rPr>
              <w:t>культурно-бытового</w:t>
            </w:r>
            <w:r>
              <w:rPr>
                <w:b/>
                <w:bCs/>
                <w:spacing w:val="51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2"/>
                <w:sz w:val="20"/>
                <w:szCs w:val="20"/>
              </w:rPr>
              <w:t>обслуживания</w:t>
            </w:r>
            <w:r>
              <w:rPr>
                <w:b/>
                <w:bCs/>
                <w:spacing w:val="3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2"/>
                <w:sz w:val="20"/>
                <w:szCs w:val="20"/>
              </w:rPr>
              <w:t>населения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1667" w:hanging="0"/>
              <w:rPr/>
            </w:pPr>
            <w:r>
              <w:rPr>
                <w:spacing w:val="-2"/>
                <w:sz w:val="20"/>
                <w:szCs w:val="20"/>
              </w:rPr>
              <w:t>Детские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дошкольные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учреждения-</w:t>
            </w:r>
            <w:r>
              <w:rPr>
                <w:spacing w:val="35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1000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чел.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1989" w:hanging="0"/>
              <w:rPr/>
            </w:pPr>
            <w:r>
              <w:rPr>
                <w:spacing w:val="-2"/>
                <w:sz w:val="20"/>
                <w:szCs w:val="20"/>
              </w:rPr>
              <w:t>Общеобразовательные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школы-</w:t>
            </w:r>
            <w:r>
              <w:rPr>
                <w:spacing w:val="37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1000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чел.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/>
            </w:pPr>
            <w:r>
              <w:rPr>
                <w:spacing w:val="-2"/>
                <w:sz w:val="20"/>
                <w:szCs w:val="20"/>
              </w:rPr>
              <w:t>Поликлиники-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1000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чел.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Аптеки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hanging="0"/>
              <w:rPr/>
            </w:pPr>
            <w:r>
              <w:rPr>
                <w:spacing w:val="-2"/>
                <w:sz w:val="20"/>
                <w:szCs w:val="20"/>
              </w:rPr>
              <w:t>Раздаточные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пункты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детской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молочной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кухни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766" w:hanging="0"/>
              <w:rPr/>
            </w:pPr>
            <w:r>
              <w:rPr>
                <w:spacing w:val="-2"/>
                <w:sz w:val="20"/>
                <w:szCs w:val="20"/>
              </w:rPr>
              <w:t>Предприятия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розничной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торговли,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питания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бытового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обслуживания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населения-</w:t>
            </w:r>
          </w:p>
          <w:p>
            <w:pPr>
              <w:pStyle w:val="TableParagraph"/>
              <w:kinsoku w:val="false"/>
              <w:overflowPunct w:val="false"/>
              <w:spacing w:lineRule="exact" w:line="226"/>
              <w:ind w:left="99" w:hanging="0"/>
              <w:rPr/>
            </w:pP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1000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чел.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pacing w:val="-3"/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1586" w:hanging="0"/>
              <w:rPr/>
            </w:pPr>
            <w:r>
              <w:rPr>
                <w:spacing w:val="-2"/>
                <w:sz w:val="20"/>
                <w:szCs w:val="20"/>
              </w:rPr>
              <w:t>Учреждения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культуры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r>
              <w:rPr>
                <w:spacing w:val="-2"/>
                <w:sz w:val="20"/>
                <w:szCs w:val="20"/>
              </w:rPr>
              <w:t>искусства-</w:t>
            </w:r>
            <w:r>
              <w:rPr>
                <w:spacing w:val="37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1000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чел.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1183" w:hanging="0"/>
              <w:rPr/>
            </w:pPr>
            <w:r>
              <w:rPr>
                <w:spacing w:val="-2"/>
                <w:sz w:val="20"/>
                <w:szCs w:val="20"/>
              </w:rPr>
              <w:t>Физкультурно-спортивные</w:t>
            </w:r>
            <w:r>
              <w:rPr>
                <w:spacing w:val="-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сооружения-</w:t>
            </w:r>
            <w:r>
              <w:rPr>
                <w:spacing w:val="49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-2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/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1000</w:t>
            </w:r>
            <w:r>
              <w:rPr>
                <w:spacing w:val="2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чел.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142" w:hanging="0"/>
              <w:rPr/>
            </w:pPr>
            <w:r>
              <w:rPr>
                <w:spacing w:val="-2"/>
                <w:sz w:val="20"/>
                <w:szCs w:val="20"/>
              </w:rPr>
              <w:t>Учреждения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жилищно-коммунального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хозяйства</w:t>
            </w:r>
            <w:r>
              <w:rPr>
                <w:spacing w:val="6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Организации</w:t>
            </w:r>
            <w:r>
              <w:rPr>
                <w:sz w:val="20"/>
                <w:szCs w:val="20"/>
              </w:rPr>
              <w:t xml:space="preserve"> и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учреждения</w:t>
            </w:r>
            <w:r>
              <w:rPr>
                <w:spacing w:val="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управления,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кредитно-</w:t>
            </w:r>
            <w:r>
              <w:rPr>
                <w:spacing w:val="5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финансовые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учреждения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r>
              <w:rPr>
                <w:spacing w:val="-2"/>
                <w:sz w:val="20"/>
                <w:szCs w:val="20"/>
              </w:rPr>
              <w:t>предприятия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связи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Прочие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объекты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социального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r>
              <w:rPr>
                <w:spacing w:val="-1"/>
                <w:sz w:val="20"/>
                <w:szCs w:val="20"/>
              </w:rPr>
              <w:t>культурно-бытового</w:t>
            </w:r>
            <w:r>
              <w:rPr>
                <w:spacing w:val="28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обслуживания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населения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firstLine="835"/>
              <w:rPr>
                <w:sz w:val="20"/>
                <w:szCs w:val="20"/>
              </w:rPr>
            </w:pPr>
            <w:r>
              <w:rPr>
                <w:b/>
                <w:bCs/>
                <w:spacing w:val="-2"/>
                <w:sz w:val="20"/>
                <w:szCs w:val="20"/>
              </w:rPr>
              <w:t>Транспортная</w:t>
            </w:r>
            <w:r>
              <w:rPr>
                <w:b/>
                <w:bCs/>
                <w:spacing w:val="3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2"/>
                <w:sz w:val="20"/>
                <w:szCs w:val="20"/>
              </w:rPr>
              <w:t>инфраструктура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781" w:hanging="0"/>
              <w:rPr/>
            </w:pPr>
            <w:r>
              <w:rPr>
                <w:spacing w:val="-2"/>
                <w:sz w:val="20"/>
                <w:szCs w:val="20"/>
              </w:rPr>
              <w:t>Протяженность</w:t>
            </w:r>
            <w:r>
              <w:rPr>
                <w:spacing w:val="6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улично-дорожной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сети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всего</w:t>
            </w:r>
            <w:r>
              <w:rPr>
                <w:spacing w:val="4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Протяженность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линий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общественного</w:t>
            </w:r>
            <w:r>
              <w:rPr>
                <w:spacing w:val="4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пассажирского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543" w:hanging="0"/>
              <w:rPr/>
            </w:pPr>
            <w:r>
              <w:rPr>
                <w:spacing w:val="-2"/>
                <w:sz w:val="20"/>
                <w:szCs w:val="20"/>
              </w:rPr>
              <w:t>транспорта</w:t>
            </w:r>
            <w:r>
              <w:rPr>
                <w:spacing w:val="23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В</w:t>
            </w:r>
            <w:r>
              <w:rPr>
                <w:spacing w:val="-3"/>
                <w:sz w:val="20"/>
                <w:szCs w:val="20"/>
              </w:rPr>
              <w:t xml:space="preserve"> том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числе: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51" w:right="3206" w:firstLine="4"/>
              <w:rPr/>
            </w:pPr>
            <w:r>
              <w:rPr>
                <w:spacing w:val="-2"/>
                <w:sz w:val="20"/>
                <w:szCs w:val="20"/>
              </w:rPr>
              <w:t>трамвай</w:t>
            </w:r>
            <w:r>
              <w:rPr>
                <w:spacing w:val="26"/>
                <w:sz w:val="20"/>
                <w:szCs w:val="20"/>
              </w:rPr>
              <w:t xml:space="preserve"> </w:t>
            </w:r>
            <w:r>
              <w:rPr>
                <w:spacing w:val="-3"/>
                <w:sz w:val="20"/>
                <w:szCs w:val="20"/>
              </w:rPr>
              <w:t>троллейбус</w:t>
            </w:r>
            <w:r>
              <w:rPr>
                <w:spacing w:val="30"/>
                <w:sz w:val="20"/>
                <w:szCs w:val="20"/>
              </w:rPr>
              <w:t xml:space="preserve"> </w:t>
            </w:r>
            <w:r>
              <w:rPr>
                <w:spacing w:val="1"/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в</w:t>
            </w:r>
            <w:r>
              <w:rPr>
                <w:spacing w:val="-2"/>
                <w:sz w:val="20"/>
                <w:szCs w:val="20"/>
              </w:rPr>
              <w:t>т</w:t>
            </w:r>
            <w:r>
              <w:rPr>
                <w:spacing w:val="-5"/>
                <w:sz w:val="20"/>
                <w:szCs w:val="20"/>
              </w:rPr>
              <w:t>о</w:t>
            </w:r>
            <w:r>
              <w:rPr>
                <w:spacing w:val="2"/>
                <w:sz w:val="20"/>
                <w:szCs w:val="20"/>
              </w:rPr>
              <w:t>б</w:t>
            </w:r>
            <w:r>
              <w:rPr>
                <w:spacing w:val="-10"/>
                <w:sz w:val="20"/>
                <w:szCs w:val="20"/>
              </w:rPr>
              <w:t>у</w:t>
            </w:r>
            <w:r>
              <w:rPr>
                <w:sz w:val="20"/>
                <w:szCs w:val="20"/>
              </w:rPr>
              <w:t>с</w:t>
            </w:r>
          </w:p>
          <w:p>
            <w:pPr>
              <w:pStyle w:val="TableParagraph"/>
              <w:kinsoku w:val="false"/>
              <w:overflowPunct w:val="false"/>
              <w:spacing w:lineRule="exact" w:line="226" w:before="6" w:after="0"/>
              <w:ind w:left="99" w:right="1076" w:hanging="0"/>
              <w:rPr/>
            </w:pPr>
            <w:r>
              <w:rPr>
                <w:sz w:val="20"/>
                <w:szCs w:val="20"/>
              </w:rPr>
              <w:t>Гаражи</w:t>
            </w:r>
            <w:r>
              <w:rPr>
                <w:spacing w:val="-5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 </w:t>
            </w:r>
            <w:r>
              <w:rPr>
                <w:spacing w:val="-2"/>
                <w:sz w:val="20"/>
                <w:szCs w:val="20"/>
              </w:rPr>
              <w:t>стоянки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для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хранения</w:t>
            </w:r>
            <w:r>
              <w:rPr>
                <w:spacing w:val="1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легковых</w:t>
            </w:r>
            <w:r>
              <w:rPr>
                <w:spacing w:val="3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автомобилей</w:t>
            </w:r>
          </w:p>
          <w:p>
            <w:pPr>
              <w:pStyle w:val="TableParagraph"/>
              <w:kinsoku w:val="false"/>
              <w:overflowPunct w:val="false"/>
              <w:spacing w:lineRule="exact" w:line="228"/>
              <w:ind w:left="99" w:hanging="0"/>
              <w:rPr/>
            </w:pPr>
            <w:r>
              <w:rPr>
                <w:sz w:val="20"/>
                <w:szCs w:val="20"/>
              </w:rPr>
              <w:t>В</w:t>
            </w:r>
            <w:r>
              <w:rPr>
                <w:spacing w:val="-3"/>
                <w:sz w:val="20"/>
                <w:szCs w:val="20"/>
              </w:rPr>
              <w:t xml:space="preserve"> том</w:t>
            </w:r>
            <w:r>
              <w:rPr>
                <w:spacing w:val="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числе: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551" w:right="2267" w:firstLine="4"/>
              <w:rPr/>
            </w:pPr>
            <w:r>
              <w:rPr>
                <w:spacing w:val="-2"/>
                <w:sz w:val="20"/>
                <w:szCs w:val="20"/>
              </w:rPr>
              <w:t>постоянного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хранения</w:t>
            </w:r>
            <w:r>
              <w:rPr>
                <w:spacing w:val="28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временного</w:t>
            </w:r>
            <w:r>
              <w:rPr>
                <w:spacing w:val="-3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хранения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6" w:after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291" w:hanging="0"/>
              <w:rPr/>
            </w:pPr>
            <w:r>
              <w:rPr>
                <w:b/>
                <w:bCs/>
                <w:spacing w:val="-1"/>
                <w:sz w:val="20"/>
                <w:szCs w:val="20"/>
              </w:rPr>
              <w:t>Инженерное</w:t>
            </w:r>
            <w:r>
              <w:rPr>
                <w:b/>
                <w:bCs/>
                <w:spacing w:val="4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2"/>
                <w:sz w:val="20"/>
                <w:szCs w:val="20"/>
              </w:rPr>
              <w:t>оборудование</w:t>
            </w:r>
            <w:r>
              <w:rPr>
                <w:b/>
                <w:bCs/>
                <w:spacing w:val="4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и</w:t>
            </w:r>
            <w:r>
              <w:rPr>
                <w:b/>
                <w:bCs/>
                <w:spacing w:val="1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2"/>
                <w:sz w:val="20"/>
                <w:szCs w:val="20"/>
              </w:rPr>
              <w:t>благоустройство</w:t>
            </w:r>
          </w:p>
        </w:tc>
        <w:tc>
          <w:tcPr>
            <w:tcW w:w="1604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rPr/>
            </w:pPr>
            <w:r>
              <w:rPr>
                <w:spacing w:val="-2"/>
                <w:sz w:val="20"/>
                <w:szCs w:val="20"/>
              </w:rPr>
              <w:t>тыс.м.кв.</w:t>
            </w:r>
            <w:r>
              <w:rPr>
                <w:spacing w:val="25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общ.площади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hanging="79"/>
              <w:jc w:val="center"/>
              <w:rPr/>
            </w:pPr>
            <w:r>
              <w:rPr>
                <w:spacing w:val="-2"/>
                <w:sz w:val="20"/>
                <w:szCs w:val="20"/>
              </w:rPr>
              <w:t>квартир</w:t>
            </w:r>
            <w:r>
              <w:rPr>
                <w:spacing w:val="24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тыс.м.кв.</w:t>
            </w:r>
            <w:r>
              <w:rPr>
                <w:spacing w:val="26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общ.площади</w:t>
            </w:r>
            <w:r>
              <w:rPr>
                <w:spacing w:val="30"/>
                <w:sz w:val="20"/>
                <w:szCs w:val="20"/>
              </w:rPr>
              <w:t xml:space="preserve"> </w:t>
            </w:r>
            <w:r>
              <w:rPr>
                <w:spacing w:val="-2"/>
                <w:sz w:val="20"/>
                <w:szCs w:val="20"/>
              </w:rPr>
              <w:t>квартир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0" w:after="0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</w:r>
          </w:p>
          <w:p>
            <w:pPr>
              <w:pStyle w:val="TableParagraph"/>
              <w:kinsoku w:val="false"/>
              <w:overflowPunct w:val="false"/>
              <w:spacing w:lineRule="atLeast" w:line="690"/>
              <w:ind w:left="594" w:right="608" w:hanging="0"/>
              <w:jc w:val="center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мест</w:t>
            </w:r>
            <w:r>
              <w:rPr>
                <w:spacing w:val="19"/>
                <w:sz w:val="20"/>
                <w:szCs w:val="20"/>
              </w:rPr>
              <w:t xml:space="preserve"> </w:t>
            </w:r>
            <w:r>
              <w:rPr>
                <w:spacing w:val="2"/>
                <w:sz w:val="20"/>
                <w:szCs w:val="20"/>
              </w:rPr>
              <w:t>м²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475"/>
              <w:ind w:left="700" w:right="697" w:hanging="0"/>
              <w:jc w:val="both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м² м² м² м²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354" w:firstLine="327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км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1" w:hanging="0"/>
              <w:jc w:val="center"/>
              <w:rPr>
                <w:spacing w:val="-1"/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маш.-мест</w:t>
            </w:r>
          </w:p>
        </w:tc>
        <w:tc>
          <w:tcPr>
            <w:tcW w:w="1393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Normal"/>
              <w:snapToGrid w:val="false"/>
              <w:spacing w:lineRule="auto" w:line="254"/>
              <w:rPr/>
            </w:pPr>
            <w:r>
              <w:rPr/>
            </w:r>
          </w:p>
        </w:tc>
        <w:tc>
          <w:tcPr>
            <w:tcW w:w="1244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1" w:after="0"/>
              <w:ind w:left="382" w:right="381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- 11,88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0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3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8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480"/>
              <w:ind w:left="382" w:right="381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- 746,4</w:t>
            </w:r>
          </w:p>
          <w:p>
            <w:pPr>
              <w:pStyle w:val="TableParagraph"/>
              <w:kinsoku w:val="false"/>
              <w:overflowPunct w:val="false"/>
              <w:spacing w:lineRule="auto" w:line="254" w:before="9" w:after="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215,56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1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1,6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 w:before="11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kinsoku w:val="false"/>
              <w:overflowPunct w:val="false"/>
              <w:spacing w:lineRule="atLeast" w:line="460"/>
              <w:ind w:left="507" w:right="512" w:hang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- 72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</w:tr>
      <w:tr>
        <w:trPr>
          <w:trHeight w:val="5639" w:hRule="exact"/>
        </w:trPr>
        <w:tc>
          <w:tcPr>
            <w:tcW w:w="783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6.1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6.2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6.3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6.4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6.5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6.6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6.8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7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7.1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7.2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2" w:hanging="0"/>
              <w:jc w:val="center"/>
              <w:rPr>
                <w:spacing w:val="-5"/>
                <w:sz w:val="20"/>
                <w:szCs w:val="20"/>
              </w:rPr>
            </w:pPr>
            <w:r>
              <w:rPr>
                <w:spacing w:val="-5"/>
                <w:sz w:val="20"/>
                <w:szCs w:val="20"/>
              </w:rPr>
              <w:t>7.3</w:t>
            </w:r>
          </w:p>
        </w:tc>
        <w:tc>
          <w:tcPr>
            <w:tcW w:w="4739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Инженерное оборудование и благоустройство территории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Водопотребление- всего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Водоотведение 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Электропотребление 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/>
            </w:pPr>
            <w:r>
              <w:rPr>
                <w:spacing w:val="-2"/>
                <w:sz w:val="20"/>
                <w:szCs w:val="20"/>
              </w:rPr>
              <w:t>Расход газа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Общее потребление тепла на отопление, вентиляцию,горячее водоснабжении Количество твердых бытовых отходов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Территории, требующие проведения специальных мероприятий по инженерной подготовке 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/>
            </w:pPr>
            <w:r>
              <w:rPr>
                <w:spacing w:val="-2"/>
                <w:sz w:val="20"/>
                <w:szCs w:val="20"/>
              </w:rPr>
              <w:t>Потребность в иных видах инженерного оборудования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Охрана окружающей среды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Озеленение санитарно-защитных зон </w:t>
            </w:r>
          </w:p>
          <w:p>
            <w:pPr>
              <w:pStyle w:val="TableParagraph"/>
              <w:kinsoku w:val="false"/>
              <w:overflowPunct w:val="false"/>
              <w:ind w:left="99" w:right="589" w:hanging="0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Уровень загрязнения атмосферного воздуха Уровень шумового воздействия</w:t>
            </w:r>
          </w:p>
        </w:tc>
        <w:tc>
          <w:tcPr>
            <w:tcW w:w="1604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napToGrid w:val="false"/>
              <w:spacing w:lineRule="auto" w:line="254"/>
              <w:ind w:left="99" w:right="326" w:firstLine="105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м.куб./сут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112" w:firstLine="105"/>
              <w:jc w:val="center"/>
              <w:rPr/>
            </w:pPr>
            <w:r>
              <w:rPr>
                <w:spacing w:val="-2"/>
                <w:sz w:val="20"/>
                <w:szCs w:val="20"/>
              </w:rPr>
              <w:t>МВт.ч /год млн м.куб/год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hanging="33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млн Гкал/год 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hanging="33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м.куб/ч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га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/>
            </w:pPr>
            <w:r>
              <w:rPr>
                <w:spacing w:val="-2"/>
                <w:sz w:val="20"/>
                <w:szCs w:val="20"/>
              </w:rPr>
              <w:t>% ПДК</w:t>
            </w:r>
          </w:p>
          <w:p>
            <w:pPr>
              <w:pStyle w:val="TableParagraph"/>
              <w:kinsoku w:val="false"/>
              <w:overflowPunct w:val="false"/>
              <w:spacing w:lineRule="auto" w:line="254"/>
              <w:ind w:left="99" w:right="326" w:firstLine="10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дБ</w:t>
            </w:r>
          </w:p>
        </w:tc>
        <w:tc>
          <w:tcPr>
            <w:tcW w:w="1393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Normal"/>
              <w:snapToGrid w:val="false"/>
              <w:spacing w:lineRule="auto" w:line="254"/>
              <w:rPr>
                <w:spacing w:val="-2"/>
                <w:sz w:val="20"/>
                <w:szCs w:val="20"/>
                <w:lang w:val="ru-RU"/>
              </w:rPr>
            </w:pPr>
            <w:r>
              <w:rPr>
                <w:spacing w:val="-2"/>
                <w:sz w:val="20"/>
                <w:szCs w:val="20"/>
                <w:lang w:val="ru-RU"/>
              </w:rPr>
            </w:r>
          </w:p>
        </w:tc>
        <w:tc>
          <w:tcPr>
            <w:tcW w:w="1244" w:type="dxa"/>
            <w:tcBorders>
              <w:top w:val="single" w:sz="36" w:space="0" w:color="612322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-5" w:type="dxa"/>
            </w:tcMar>
          </w:tcPr>
          <w:p>
            <w:pPr>
              <w:pStyle w:val="TableParagraph"/>
              <w:kinsoku w:val="false"/>
              <w:overflowPunct w:val="false"/>
              <w:snapToGrid w:val="false"/>
              <w:spacing w:lineRule="exact" w:line="220"/>
              <w:ind w:right="3" w:hanging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223,33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193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</w:t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kinsoku w:val="false"/>
              <w:overflowPunct w:val="false"/>
              <w:spacing w:lineRule="exact" w:line="220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</w:t>
            </w:r>
          </w:p>
        </w:tc>
      </w:tr>
    </w:tbl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1.9. Положения об очередности планируемого развития территории, содержащие этапы проектирования, строительства, реконструкции объектов капитального строительства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 соответствии с настоящим проектом планировки территории предполагается размещение комплекса объектов на территории Скопинского муниципального района, Рязанской области, в с. Успенское. Строительство данного комплекса не подразумевает очередность строительства и будет проходить единым этапом.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Чертеж планировки территории М1:1000 и разбивочный план красных линий М1:1000 приведены в приложении № 1. Границы существующих и планируемых элементов планировочной структуры М1:1000 и границы зон планируемого размещения объектов капитального строительства М1:1000 приведены в приложении № 2.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numPr>
          <w:ilvl w:val="0"/>
          <w:numId w:val="6"/>
        </w:numPr>
        <w:jc w:val="center"/>
        <w:rPr>
          <w:rFonts w:cs="Arial"/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>Проект межевания территории земельных участков по адресу: Рязанской области, Скопинский район, с. Успенское</w:t>
      </w:r>
    </w:p>
    <w:p>
      <w:pPr>
        <w:pStyle w:val="Normal"/>
        <w:ind w:firstLine="709"/>
        <w:jc w:val="both"/>
        <w:rPr>
          <w:rFonts w:eastAsia="Calibri" w:cs="Arial"/>
          <w:sz w:val="28"/>
          <w:szCs w:val="28"/>
          <w:lang w:val="ru-RU" w:eastAsia="ru-RU"/>
        </w:rPr>
      </w:pPr>
      <w:r>
        <w:rPr>
          <w:rFonts w:eastAsia="Calibri" w:cs="Arial"/>
          <w:sz w:val="28"/>
          <w:szCs w:val="28"/>
          <w:lang w:val="ru-RU" w:eastAsia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2.1. Перечень и сведения о площади образуемых земельных участков, в том числе возможные способы их образования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Земельные участи в границах проектирования, поставленные на государственный кадастровый учет, расположены в кадастровом квартале 62:19:1360302. Общие сведения о земельных участках в данном кадастровом квартале представлены в Таблице 1 согласно данным федерального бюджетного учреждения «Кадастровая палата» по Рязанской области.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Границы проектируемой территории расположены в восточной части           с. Успенское,  Скопинского муниципального района, Рязанской области.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Площадь проектируемой территории – 8,5 га (85 409 кв.м.).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 xml:space="preserve">В составе: 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Площадь перспективной застройки – 7,9 га (79 413 кв.м.).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Площадь ограниченной застройки – 0,6 га (5 996 кв.м.).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left="709" w:hanging="0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2.2.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p>
      <w:pPr>
        <w:pStyle w:val="Normal"/>
        <w:ind w:left="709" w:hanging="0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Настоящий проект предусматривает размещение комплекса объектов частной территории ограниченного доступа. В связи с особенностями проекта планировки территории, предусматривающих размещение объектов направленных на обслуживание работников «ОКТАФАРМА-ФАРМИМЭКС», земельные участки,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 при подготовке настоящего проекта планировки не рассматривались.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2.3. Вид разрешенного использования образуемых земельных участков в соответствии с проектом планировки территории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 границах проекта планировки расположены земельные участки объектов жилой застройки, объектов транспортной и инженерной инфраструктуры. Использование территории на момент подготовки настоящего проекта не противоречит действующим Правилам землепользования и застройки муниципальных образований, на территории которого планируется размещение комплекса объектов, и соответствует решениям генерального плана Скопинского муниципального района, Рязанской области.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Функциональное использование зон, в границах которых планируется размещение комплекса объектов, не накладывает запрета на размещение такого объекта и составляет многофункциональная зона с видом разрешенного использования, Гостиничное обслуживание (4.7) – 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них.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/>
      </w:pPr>
      <w:r>
        <w:rPr>
          <w:rFonts w:eastAsia="Calibri"/>
          <w:sz w:val="28"/>
          <w:szCs w:val="28"/>
          <w:lang w:val="ru-RU"/>
        </w:rPr>
        <w:t>2.4. Целевое назначение лесов, вид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Данным проектом предусматривается межевание территории под размещение гостиниц, при этом земельные участки лесов не затрагиваются.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/>
      </w:pPr>
      <w:r>
        <w:rPr>
          <w:rFonts w:eastAsia="Calibri"/>
          <w:sz w:val="28"/>
          <w:szCs w:val="28"/>
          <w:lang w:val="ru-RU"/>
        </w:rPr>
        <w:t>2.5. Сведения о границах территории, в отношении которой утвержден проект межевания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spacing w:before="143" w:after="0"/>
        <w:ind w:firstLine="709"/>
        <w:rPr/>
      </w:pPr>
      <w:r>
        <w:rPr>
          <w:spacing w:val="-1"/>
          <w:sz w:val="28"/>
        </w:rPr>
        <w:t>Ведомость изменяемых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участков</w:t>
      </w:r>
    </w:p>
    <w:p>
      <w:pPr>
        <w:pStyle w:val="Normal"/>
        <w:spacing w:before="143" w:after="0"/>
        <w:ind w:firstLine="709"/>
        <w:rPr>
          <w:spacing w:val="-1"/>
          <w:sz w:val="28"/>
        </w:rPr>
      </w:pPr>
      <w:r>
        <w:rPr>
          <w:spacing w:val="-1"/>
          <w:sz w:val="28"/>
        </w:rPr>
      </w:r>
    </w:p>
    <w:tbl>
      <w:tblPr>
        <w:tblW w:w="9440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insideH w:val="single" w:sz="6" w:space="0" w:color="000000"/>
        </w:tblBorders>
        <w:tblCellMar>
          <w:top w:w="0" w:type="dxa"/>
          <w:left w:w="-7" w:type="dxa"/>
          <w:bottom w:w="0" w:type="dxa"/>
          <w:right w:w="0" w:type="dxa"/>
        </w:tblCellMar>
      </w:tblPr>
      <w:tblGrid>
        <w:gridCol w:w="442"/>
        <w:gridCol w:w="1299"/>
        <w:gridCol w:w="151"/>
        <w:gridCol w:w="1081"/>
        <w:gridCol w:w="141"/>
        <w:gridCol w:w="920"/>
        <w:gridCol w:w="1229"/>
        <w:gridCol w:w="142"/>
        <w:gridCol w:w="576"/>
        <w:gridCol w:w="120"/>
        <w:gridCol w:w="1001"/>
        <w:gridCol w:w="144"/>
        <w:gridCol w:w="936"/>
        <w:gridCol w:w="117"/>
        <w:gridCol w:w="1141"/>
      </w:tblGrid>
      <w:tr>
        <w:trPr>
          <w:trHeight w:val="1651" w:hRule="exact"/>
        </w:trPr>
        <w:tc>
          <w:tcPr>
            <w:tcW w:w="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</w:r>
          </w:p>
          <w:p>
            <w:pPr>
              <w:pStyle w:val="TableParagraph"/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</w:r>
          </w:p>
          <w:p>
            <w:pPr>
              <w:pStyle w:val="TableParagraph"/>
              <w:spacing w:before="124" w:after="0"/>
              <w:ind w:left="155" w:right="109" w:hanging="46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eastAsia="Cambria" w:cs="Cambria" w:ascii="Cambria" w:hAnsi="Cambria"/>
                <w:b/>
                <w:bCs/>
                <w:w w:val="95"/>
                <w:sz w:val="20"/>
                <w:szCs w:val="20"/>
              </w:rPr>
              <w:t>№</w:t>
            </w:r>
            <w:r>
              <w:rPr>
                <w:rFonts w:eastAsia="Cambria" w:cs="Cambria" w:ascii="Cambria" w:hAnsi="Cambria"/>
                <w:b/>
                <w:bCs/>
                <w:w w:val="99"/>
                <w:sz w:val="20"/>
                <w:szCs w:val="20"/>
              </w:rPr>
              <w:t xml:space="preserve"> </w:t>
            </w:r>
            <w:r>
              <w:rPr>
                <w:rFonts w:eastAsia="Cambria" w:cs="Cambria" w:ascii="Cambria" w:hAnsi="Cambr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eastAsia="Cambria" w:cs="Cambria" w:ascii="Cambria" w:hAnsi="Cambria"/>
                <w:sz w:val="20"/>
                <w:szCs w:val="20"/>
              </w:rPr>
            </w:r>
          </w:p>
          <w:p>
            <w:pPr>
              <w:pStyle w:val="TableParagraph"/>
              <w:spacing w:before="7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135" w:right="141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w w:val="95"/>
                <w:sz w:val="20"/>
              </w:rPr>
              <w:t>Кадастров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ый</w:t>
            </w:r>
            <w:r>
              <w:rPr>
                <w:rFonts w:cs="Cambria" w:ascii="Cambria" w:hAnsi="Cambria"/>
                <w:b/>
                <w:spacing w:val="-11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номер</w:t>
            </w:r>
          </w:p>
          <w:p>
            <w:pPr>
              <w:pStyle w:val="TableParagraph"/>
              <w:ind w:right="1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z w:val="20"/>
              </w:rPr>
              <w:t>ЗУ</w:t>
            </w:r>
          </w:p>
        </w:tc>
        <w:tc>
          <w:tcPr>
            <w:tcW w:w="1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081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TableParagraph"/>
              <w:snapToGrid w:val="false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eastAsia="Calibri" w:cs="Calibri" w:ascii="Calibri" w:hAnsi="Calibri"/>
                <w:sz w:val="20"/>
                <w:szCs w:val="20"/>
              </w:rPr>
            </w:r>
          </w:p>
          <w:p>
            <w:pPr>
              <w:pStyle w:val="TableParagraph"/>
              <w:spacing w:before="7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4" w:right="20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pacing w:val="-1"/>
                <w:w w:val="95"/>
                <w:sz w:val="20"/>
              </w:rPr>
              <w:t>Местополо</w:t>
            </w:r>
            <w:r>
              <w:rPr>
                <w:rFonts w:cs="Cambria" w:ascii="Cambria" w:hAnsi="Cambria"/>
                <w:b/>
                <w:spacing w:val="28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жение</w:t>
            </w:r>
            <w:r>
              <w:rPr>
                <w:rFonts w:cs="Cambria" w:ascii="Cambria" w:hAnsi="Cambria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(адрес)</w:t>
            </w:r>
          </w:p>
        </w:tc>
        <w:tc>
          <w:tcPr>
            <w:tcW w:w="141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9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eastAsia="Calibri" w:cs="Calibri" w:ascii="Calibri" w:hAnsi="Calibri"/>
                <w:sz w:val="20"/>
                <w:szCs w:val="20"/>
              </w:rPr>
            </w:r>
          </w:p>
          <w:p>
            <w:pPr>
              <w:pStyle w:val="TableParagraph"/>
              <w:spacing w:before="7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111" w:right="118" w:firstLine="1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z w:val="20"/>
              </w:rPr>
              <w:t>Катего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рия</w:t>
            </w:r>
            <w:r>
              <w:rPr>
                <w:rFonts w:cs="Cambria" w:ascii="Cambria" w:hAnsi="Cambria"/>
                <w:b/>
                <w:spacing w:val="22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w w:val="95"/>
                <w:sz w:val="20"/>
              </w:rPr>
              <w:t>земель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pacing w:before="116" w:after="0"/>
              <w:ind w:left="104" w:right="107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z w:val="20"/>
              </w:rPr>
              <w:t>Разрешен</w:t>
            </w:r>
            <w:r>
              <w:rPr>
                <w:rFonts w:cs="Cambria" w:ascii="Cambria" w:hAnsi="Cambria"/>
                <w:b/>
                <w:spacing w:val="22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ное</w:t>
            </w:r>
            <w:r>
              <w:rPr>
                <w:rFonts w:cs="Cambria" w:ascii="Cambria" w:hAnsi="Cambria"/>
                <w:b/>
                <w:spacing w:val="22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w w:val="95"/>
                <w:sz w:val="20"/>
              </w:rPr>
              <w:t>использов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ание</w:t>
            </w:r>
            <w:r>
              <w:rPr>
                <w:rFonts w:cs="Cambria" w:ascii="Cambria" w:hAnsi="Cambria"/>
                <w:b/>
                <w:spacing w:val="-8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1"/>
                <w:sz w:val="20"/>
              </w:rPr>
              <w:t>по</w:t>
            </w:r>
            <w:r>
              <w:rPr>
                <w:rFonts w:cs="Cambria" w:ascii="Cambria" w:hAnsi="Cambria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сведения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м</w:t>
            </w:r>
            <w:r>
              <w:rPr>
                <w:rFonts w:cs="Cambria" w:ascii="Cambria" w:hAnsi="Cambria"/>
                <w:b/>
                <w:spacing w:val="-8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ГКН</w:t>
            </w:r>
          </w:p>
        </w:tc>
        <w:tc>
          <w:tcPr>
            <w:tcW w:w="71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ind w:left="104" w:firstLine="4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z w:val="20"/>
              </w:rPr>
              <w:t>Площ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адь</w:t>
            </w:r>
            <w:r>
              <w:rPr>
                <w:rFonts w:cs="Cambria" w:ascii="Cambria" w:hAnsi="Cambria"/>
                <w:b/>
                <w:spacing w:val="-7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ЗУ</w:t>
            </w:r>
            <w:r>
              <w:rPr>
                <w:rFonts w:cs="Cambria" w:ascii="Cambria" w:hAnsi="Cambria"/>
                <w:b/>
                <w:spacing w:val="22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по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сведе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ния</w:t>
            </w:r>
            <w:r>
              <w:rPr>
                <w:rFonts w:cs="Cambria" w:ascii="Cambria" w:hAnsi="Cambria"/>
                <w:b/>
                <w:spacing w:val="21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ГКН,</w:t>
            </w:r>
          </w:p>
          <w:p>
            <w:pPr>
              <w:pStyle w:val="TableParagraph"/>
              <w:ind w:left="105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z w:val="20"/>
              </w:rPr>
              <w:t>кв.м</w:t>
            </w:r>
          </w:p>
        </w:tc>
        <w:tc>
          <w:tcPr>
            <w:tcW w:w="120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0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ind w:left="104" w:right="104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pacing w:val="-1"/>
                <w:w w:val="95"/>
                <w:sz w:val="20"/>
              </w:rPr>
              <w:t>Площад</w:t>
            </w:r>
            <w:r>
              <w:rPr>
                <w:rFonts w:cs="Cambria" w:ascii="Cambria" w:hAnsi="Cambria"/>
                <w:b/>
                <w:spacing w:val="25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ь</w:t>
            </w:r>
            <w:r>
              <w:rPr>
                <w:rFonts w:cs="Cambria" w:ascii="Cambria" w:hAnsi="Cambria"/>
                <w:b/>
                <w:spacing w:val="-4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ЗУ</w:t>
            </w:r>
            <w:r>
              <w:rPr>
                <w:rFonts w:cs="Cambria" w:ascii="Cambria" w:hAnsi="Cambria"/>
                <w:b/>
                <w:spacing w:val="-4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2"/>
                <w:sz w:val="20"/>
              </w:rPr>
              <w:t>п</w:t>
            </w:r>
            <w:r>
              <w:rPr>
                <w:rFonts w:cs="Cambria" w:ascii="Cambria" w:hAnsi="Cambria"/>
                <w:b/>
                <w:sz w:val="20"/>
              </w:rPr>
              <w:t>о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проект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у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межева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ния,</w:t>
            </w:r>
            <w:r>
              <w:rPr>
                <w:rFonts w:cs="Cambria" w:ascii="Cambria" w:hAnsi="Cambria"/>
                <w:b/>
                <w:spacing w:val="22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кв.м</w:t>
            </w:r>
          </w:p>
        </w:tc>
        <w:tc>
          <w:tcPr>
            <w:tcW w:w="1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  <w:lang w:val="ru-RU"/>
              </w:rPr>
            </w:pPr>
            <w:r>
              <w:rPr>
                <w:rFonts w:eastAsia="Calibri" w:cs="Calibri" w:ascii="Calibri" w:hAnsi="Calibri"/>
                <w:sz w:val="22"/>
                <w:szCs w:val="22"/>
                <w:lang w:val="ru-RU"/>
              </w:rPr>
            </w:r>
          </w:p>
        </w:tc>
        <w:tc>
          <w:tcPr>
            <w:tcW w:w="936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TableParagraph"/>
              <w:snapToGrid w:val="false"/>
              <w:rPr>
                <w:rFonts w:ascii="Calibri" w:hAnsi="Calibri" w:eastAsia="Calibri" w:cs="Calibri"/>
                <w:sz w:val="20"/>
                <w:szCs w:val="20"/>
                <w:lang w:val="ru-RU"/>
              </w:rPr>
            </w:pPr>
            <w:r>
              <w:rPr>
                <w:rFonts w:eastAsia="Calibri" w:cs="Calibri" w:ascii="Calibri" w:hAnsi="Calibri"/>
                <w:sz w:val="20"/>
                <w:szCs w:val="20"/>
                <w:lang w:val="ru-RU"/>
              </w:rPr>
            </w:r>
          </w:p>
          <w:p>
            <w:pPr>
              <w:pStyle w:val="TableParagraph"/>
              <w:spacing w:before="7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23" w:right="52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sz w:val="20"/>
              </w:rPr>
              <w:t>Форма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w w:val="95"/>
                <w:sz w:val="20"/>
              </w:rPr>
              <w:t>собствен</w:t>
            </w:r>
            <w:r>
              <w:rPr>
                <w:rFonts w:cs="Cambria" w:ascii="Cambria" w:hAnsi="Cambria"/>
                <w:b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z w:val="20"/>
              </w:rPr>
              <w:t>ности</w:t>
            </w:r>
          </w:p>
        </w:tc>
        <w:tc>
          <w:tcPr>
            <w:tcW w:w="117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  <w:insideH w:val="single" w:sz="6" w:space="0" w:color="000000"/>
              <w:insideV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eastAsia="Calibri" w:cs="Calibri" w:ascii="Calibri" w:hAnsi="Calibri"/>
                <w:sz w:val="20"/>
                <w:szCs w:val="20"/>
              </w:rPr>
            </w:r>
          </w:p>
          <w:p>
            <w:pPr>
              <w:pStyle w:val="TableParagrap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spacing w:before="124" w:after="0"/>
              <w:ind w:left="320" w:right="133" w:hanging="190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cs="Cambria" w:ascii="Cambria" w:hAnsi="Cambria"/>
                <w:b/>
                <w:w w:val="95"/>
                <w:sz w:val="20"/>
              </w:rPr>
              <w:t>Обремен</w:t>
            </w:r>
            <w:r>
              <w:rPr>
                <w:rFonts w:cs="Cambria" w:ascii="Cambria" w:hAnsi="Cambria"/>
                <w:b/>
                <w:spacing w:val="21"/>
                <w:w w:val="99"/>
                <w:sz w:val="20"/>
              </w:rPr>
              <w:t xml:space="preserve"> </w:t>
            </w:r>
            <w:r>
              <w:rPr>
                <w:rFonts w:cs="Cambria" w:ascii="Cambria" w:hAnsi="Cambria"/>
                <w:b/>
                <w:spacing w:val="-1"/>
                <w:sz w:val="20"/>
              </w:rPr>
              <w:t>ения</w:t>
            </w:r>
          </w:p>
        </w:tc>
      </w:tr>
      <w:tr>
        <w:trPr>
          <w:trHeight w:val="245" w:hRule="exact"/>
        </w:trPr>
        <w:tc>
          <w:tcPr>
            <w:tcW w:w="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pacing w:lineRule="exact" w:line="233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1</w:t>
            </w:r>
          </w:p>
        </w:tc>
        <w:tc>
          <w:tcPr>
            <w:tcW w:w="12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pacing w:lineRule="exact" w:line="233"/>
              <w:ind w:right="3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2</w:t>
            </w:r>
          </w:p>
        </w:tc>
        <w:tc>
          <w:tcPr>
            <w:tcW w:w="1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081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TableParagraph"/>
              <w:spacing w:lineRule="exact" w:line="233"/>
              <w:ind w:right="15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3</w:t>
            </w:r>
          </w:p>
        </w:tc>
        <w:tc>
          <w:tcPr>
            <w:tcW w:w="141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9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pacing w:lineRule="exact" w:line="233"/>
              <w:ind w:right="2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4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pacing w:lineRule="exact" w:line="233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5</w:t>
            </w:r>
          </w:p>
        </w:tc>
        <w:tc>
          <w:tcPr>
            <w:tcW w:w="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576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TableParagraph"/>
              <w:spacing w:lineRule="exact" w:line="233"/>
              <w:ind w:right="23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6</w:t>
            </w:r>
          </w:p>
        </w:tc>
        <w:tc>
          <w:tcPr>
            <w:tcW w:w="120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0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pacing w:lineRule="exact" w:line="233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7</w:t>
            </w:r>
          </w:p>
        </w:tc>
        <w:tc>
          <w:tcPr>
            <w:tcW w:w="1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936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TableParagraph"/>
              <w:spacing w:lineRule="exact" w:line="233"/>
              <w:ind w:right="24" w:hanging="0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8</w:t>
            </w:r>
          </w:p>
        </w:tc>
        <w:tc>
          <w:tcPr>
            <w:tcW w:w="117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  <w:insideH w:val="single" w:sz="6" w:space="0" w:color="000000"/>
              <w:insideV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pacing w:lineRule="exact" w:line="233"/>
              <w:jc w:val="center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/>
                <w:b/>
                <w:sz w:val="20"/>
              </w:rPr>
              <w:t>9</w:t>
            </w:r>
          </w:p>
        </w:tc>
      </w:tr>
      <w:tr>
        <w:trPr>
          <w:trHeight w:val="1390" w:hRule="exact"/>
        </w:trPr>
        <w:tc>
          <w:tcPr>
            <w:tcW w:w="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rFonts w:ascii="Cambria" w:hAnsi="Cambria" w:eastAsia="Cambria" w:cs="Cambria"/>
                <w:sz w:val="20"/>
                <w:szCs w:val="20"/>
                <w:lang w:val="ru-RU" w:eastAsia="ru-RU"/>
              </w:rPr>
            </w:pPr>
            <w:r>
              <w:rPr>
                <w:rFonts w:eastAsia="Cambria" w:cs="Cambria" w:ascii="Cambria" w:hAnsi="Cambria"/>
                <w:sz w:val="20"/>
                <w:szCs w:val="20"/>
                <w:lang w:val="ru-RU" w:eastAsia="ru-RU"/>
              </w:rPr>
            </w:r>
          </w:p>
          <w:p>
            <w:pPr>
              <w:pStyle w:val="TableParagraph"/>
              <w:spacing w:before="2" w:after="0"/>
              <w:rPr>
                <w:sz w:val="29"/>
                <w:szCs w:val="29"/>
              </w:rPr>
            </w:pPr>
            <w:r>
              <w:rPr>
                <w:sz w:val="29"/>
                <w:szCs w:val="29"/>
              </w:rPr>
            </w:r>
          </w:p>
          <w:p>
            <w:pPr>
              <w:pStyle w:val="TableParagraph"/>
              <w:ind w:right="5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2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spacing w:before="5" w:after="0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spacing w:lineRule="exact" w:line="229"/>
              <w:ind w:right="3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</w:rPr>
              <w:t>62:19:13603</w:t>
            </w:r>
          </w:p>
          <w:p>
            <w:pPr>
              <w:pStyle w:val="TableParagraph"/>
              <w:spacing w:lineRule="exact" w:line="229"/>
              <w:jc w:val="center"/>
              <w:rPr>
                <w:sz w:val="20"/>
                <w:szCs w:val="20"/>
              </w:rPr>
            </w:pPr>
            <w:r>
              <w:rPr>
                <w:sz w:val="20"/>
              </w:rPr>
              <w:t>02:222</w:t>
            </w:r>
          </w:p>
        </w:tc>
        <w:tc>
          <w:tcPr>
            <w:tcW w:w="1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081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E6E6E6" w:val="clear"/>
          </w:tcPr>
          <w:p>
            <w:pPr>
              <w:pStyle w:val="TableParagraph"/>
              <w:spacing w:before="107" w:after="0"/>
              <w:ind w:left="-17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</w:rPr>
              <w:t>Рязанская</w:t>
            </w:r>
            <w:r>
              <w:rPr>
                <w:w w:val="9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область,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р-н</w:t>
            </w:r>
            <w:r>
              <w:rPr>
                <w:spacing w:val="27"/>
                <w:w w:val="99"/>
                <w:sz w:val="20"/>
              </w:rPr>
              <w:t xml:space="preserve"> </w:t>
            </w:r>
            <w:r>
              <w:rPr>
                <w:spacing w:val="-1"/>
                <w:w w:val="95"/>
                <w:sz w:val="20"/>
              </w:rPr>
              <w:t>Скопинский,</w:t>
            </w:r>
            <w:r>
              <w:rPr>
                <w:spacing w:val="20"/>
                <w:w w:val="9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восточнее</w:t>
            </w:r>
            <w:r>
              <w:rPr>
                <w:spacing w:val="28"/>
                <w:w w:val="9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с.Успенское</w:t>
            </w:r>
          </w:p>
        </w:tc>
        <w:tc>
          <w:tcPr>
            <w:tcW w:w="141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  <w:lang w:val="ru-RU"/>
              </w:rPr>
            </w:pPr>
            <w:r>
              <w:rPr>
                <w:rFonts w:eastAsia="Calibri" w:cs="Calibri" w:ascii="Calibri" w:hAnsi="Calibri"/>
                <w:sz w:val="22"/>
                <w:szCs w:val="22"/>
                <w:lang w:val="ru-RU"/>
              </w:rPr>
            </w:r>
          </w:p>
        </w:tc>
        <w:tc>
          <w:tcPr>
            <w:tcW w:w="9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spacing w:before="4" w:after="0"/>
              <w:rPr>
                <w:rFonts w:ascii="Calibri" w:hAnsi="Calibri" w:eastAsia="Calibri" w:cs="Calibri"/>
                <w:sz w:val="19"/>
                <w:szCs w:val="19"/>
                <w:lang w:val="ru-RU"/>
              </w:rPr>
            </w:pPr>
            <w:r>
              <w:rPr>
                <w:rFonts w:eastAsia="Calibri" w:cs="Calibri" w:ascii="Calibri" w:hAnsi="Calibri"/>
                <w:sz w:val="19"/>
                <w:szCs w:val="19"/>
                <w:lang w:val="ru-RU"/>
              </w:rPr>
            </w:r>
          </w:p>
          <w:p>
            <w:pPr>
              <w:pStyle w:val="TableParagraph"/>
              <w:ind w:left="104" w:right="110" w:firstLine="3"/>
              <w:jc w:val="center"/>
              <w:rPr>
                <w:sz w:val="20"/>
                <w:szCs w:val="20"/>
              </w:rPr>
            </w:pPr>
            <w:r>
              <w:rPr>
                <w:sz w:val="20"/>
              </w:rPr>
              <w:t>Земли</w:t>
            </w:r>
            <w:r>
              <w:rPr>
                <w:w w:val="99"/>
                <w:sz w:val="20"/>
              </w:rPr>
              <w:t xml:space="preserve"> </w:t>
            </w:r>
            <w:r>
              <w:rPr>
                <w:sz w:val="20"/>
              </w:rPr>
              <w:t>населён</w:t>
            </w:r>
            <w:r>
              <w:rPr>
                <w:w w:val="9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ных</w:t>
            </w:r>
            <w:r>
              <w:rPr>
                <w:spacing w:val="22"/>
                <w:w w:val="99"/>
                <w:sz w:val="20"/>
              </w:rPr>
              <w:t xml:space="preserve"> </w:t>
            </w:r>
            <w:r>
              <w:rPr>
                <w:spacing w:val="-1"/>
                <w:w w:val="95"/>
                <w:sz w:val="20"/>
              </w:rPr>
              <w:t>пунктов</w:t>
            </w:r>
          </w:p>
        </w:tc>
        <w:tc>
          <w:tcPr>
            <w:tcW w:w="12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spacing w:before="4" w:after="0"/>
              <w:rPr>
                <w:sz w:val="29"/>
                <w:szCs w:val="29"/>
              </w:rPr>
            </w:pPr>
            <w:r>
              <w:rPr>
                <w:sz w:val="29"/>
                <w:szCs w:val="29"/>
              </w:rPr>
            </w:r>
          </w:p>
          <w:p>
            <w:pPr>
              <w:pStyle w:val="TableParagraph"/>
              <w:ind w:left="106" w:right="106" w:hanging="0"/>
              <w:jc w:val="center"/>
              <w:rPr>
                <w:sz w:val="20"/>
                <w:szCs w:val="20"/>
              </w:rPr>
            </w:pPr>
            <w:r>
              <w:rPr>
                <w:spacing w:val="-1"/>
                <w:sz w:val="20"/>
              </w:rPr>
              <w:t>Для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  <w:r>
              <w:rPr>
                <w:spacing w:val="23"/>
                <w:w w:val="99"/>
                <w:sz w:val="20"/>
              </w:rPr>
              <w:t xml:space="preserve"> </w:t>
            </w:r>
            <w:r>
              <w:rPr>
                <w:sz w:val="20"/>
              </w:rPr>
              <w:t>пользовани</w:t>
            </w:r>
            <w:r>
              <w:rPr>
                <w:spacing w:val="21"/>
                <w:w w:val="99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(уличная</w:t>
            </w:r>
            <w:r>
              <w:rPr>
                <w:w w:val="9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сеть)</w:t>
            </w:r>
          </w:p>
        </w:tc>
        <w:tc>
          <w:tcPr>
            <w:tcW w:w="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  <w:lang w:val="ru-RU"/>
              </w:rPr>
            </w:pPr>
            <w:r>
              <w:rPr>
                <w:rFonts w:eastAsia="Calibri" w:cs="Calibri" w:ascii="Calibri" w:hAnsi="Calibri"/>
                <w:sz w:val="22"/>
                <w:szCs w:val="22"/>
                <w:lang w:val="ru-RU"/>
              </w:rPr>
            </w:r>
          </w:p>
        </w:tc>
        <w:tc>
          <w:tcPr>
            <w:tcW w:w="576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TableParagraph"/>
              <w:snapToGrid w:val="false"/>
              <w:rPr>
                <w:rFonts w:ascii="Calibri" w:hAnsi="Calibri" w:eastAsia="Calibri" w:cs="Calibri"/>
                <w:sz w:val="20"/>
                <w:szCs w:val="20"/>
                <w:lang w:val="ru-RU"/>
              </w:rPr>
            </w:pPr>
            <w:r>
              <w:rPr>
                <w:rFonts w:eastAsia="Calibri" w:cs="Calibri" w:ascii="Calibri" w:hAnsi="Calibri"/>
                <w:sz w:val="20"/>
                <w:szCs w:val="20"/>
                <w:lang w:val="ru-RU"/>
              </w:rPr>
            </w:r>
          </w:p>
          <w:p>
            <w:pPr>
              <w:pStyle w:val="TableParagraph"/>
              <w:spacing w:before="2" w:after="0"/>
              <w:rPr>
                <w:sz w:val="29"/>
                <w:szCs w:val="29"/>
              </w:rPr>
            </w:pPr>
            <w:r>
              <w:rPr>
                <w:sz w:val="29"/>
                <w:szCs w:val="29"/>
              </w:rPr>
            </w:r>
          </w:p>
          <w:p>
            <w:pPr>
              <w:pStyle w:val="TableParagraph"/>
              <w:rPr>
                <w:sz w:val="20"/>
                <w:szCs w:val="20"/>
              </w:rPr>
            </w:pPr>
            <w:r>
              <w:rPr>
                <w:sz w:val="20"/>
              </w:rPr>
              <w:t>69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080</w:t>
            </w:r>
          </w:p>
        </w:tc>
        <w:tc>
          <w:tcPr>
            <w:tcW w:w="120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0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rFonts w:ascii="Calibri" w:hAnsi="Calibri" w:eastAsia="Calibri" w:cs="Calibri"/>
                <w:sz w:val="20"/>
                <w:szCs w:val="20"/>
              </w:rPr>
            </w:pPr>
            <w:r>
              <w:rPr>
                <w:rFonts w:eastAsia="Calibri" w:cs="Calibri" w:ascii="Calibri" w:hAnsi="Calibri"/>
                <w:sz w:val="20"/>
                <w:szCs w:val="20"/>
              </w:rPr>
            </w:r>
          </w:p>
          <w:p>
            <w:pPr>
              <w:pStyle w:val="TableParagraph"/>
              <w:spacing w:before="2" w:after="0"/>
              <w:rPr>
                <w:sz w:val="29"/>
                <w:szCs w:val="29"/>
              </w:rPr>
            </w:pPr>
            <w:r>
              <w:rPr>
                <w:sz w:val="29"/>
                <w:szCs w:val="29"/>
              </w:rPr>
            </w:r>
          </w:p>
          <w:p>
            <w:pPr>
              <w:pStyle w:val="TableParagraph"/>
              <w:ind w:left="219" w:hanging="0"/>
              <w:rPr>
                <w:sz w:val="20"/>
                <w:szCs w:val="20"/>
              </w:rPr>
            </w:pPr>
            <w:r>
              <w:rPr>
                <w:sz w:val="20"/>
              </w:rPr>
              <w:t>69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080</w:t>
            </w:r>
          </w:p>
        </w:tc>
        <w:tc>
          <w:tcPr>
            <w:tcW w:w="1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936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E6E6E6" w:val="clear"/>
          </w:tcPr>
          <w:p>
            <w:pPr>
              <w:pStyle w:val="TableParagraph"/>
              <w:ind w:right="-29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</w:rPr>
              <w:t>Собственн</w:t>
            </w:r>
            <w:r>
              <w:rPr>
                <w:spacing w:val="22"/>
                <w:w w:val="99"/>
                <w:sz w:val="20"/>
              </w:rPr>
              <w:t xml:space="preserve"> </w:t>
            </w:r>
            <w:r>
              <w:rPr>
                <w:sz w:val="20"/>
              </w:rPr>
              <w:t>ость</w:t>
            </w:r>
            <w:r>
              <w:rPr>
                <w:spacing w:val="21"/>
                <w:w w:val="99"/>
                <w:sz w:val="20"/>
              </w:rPr>
              <w:t xml:space="preserve"> </w:t>
            </w:r>
            <w:r>
              <w:rPr>
                <w:sz w:val="20"/>
              </w:rPr>
              <w:t>публично-</w:t>
            </w:r>
            <w:r>
              <w:rPr>
                <w:spacing w:val="21"/>
                <w:w w:val="99"/>
                <w:sz w:val="20"/>
              </w:rPr>
              <w:t xml:space="preserve"> </w:t>
            </w:r>
            <w:r>
              <w:rPr>
                <w:sz w:val="20"/>
              </w:rPr>
              <w:t>правовых</w:t>
            </w:r>
            <w:r>
              <w:rPr>
                <w:spacing w:val="21"/>
                <w:w w:val="99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образовани</w:t>
            </w:r>
            <w:r>
              <w:rPr>
                <w:spacing w:val="21"/>
                <w:w w:val="99"/>
                <w:sz w:val="20"/>
              </w:rPr>
              <w:t xml:space="preserve"> </w:t>
            </w:r>
            <w:r>
              <w:rPr>
                <w:sz w:val="20"/>
              </w:rPr>
              <w:t>й</w:t>
            </w:r>
          </w:p>
        </w:tc>
        <w:tc>
          <w:tcPr>
            <w:tcW w:w="117" w:type="dxa"/>
            <w:tcBorders>
              <w:top w:val="single" w:sz="6" w:space="0" w:color="000000"/>
              <w:bottom w:val="single" w:sz="6" w:space="0" w:color="000000"/>
              <w:insideH w:val="single" w:sz="6" w:space="0" w:color="000000"/>
            </w:tcBorders>
            <w:shd w:fill="auto" w:val="clea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  <w:lang w:val="ru-RU"/>
              </w:rPr>
            </w:pPr>
            <w:r>
              <w:rPr>
                <w:rFonts w:eastAsia="Calibri" w:cs="Calibri" w:ascii="Calibri" w:hAnsi="Calibri"/>
                <w:sz w:val="22"/>
                <w:szCs w:val="22"/>
                <w:lang w:val="ru-RU"/>
              </w:rPr>
            </w:r>
          </w:p>
        </w:tc>
        <w:tc>
          <w:tcPr>
            <w:tcW w:w="1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  <w:insideH w:val="single" w:sz="6" w:space="0" w:color="000000"/>
              <w:insideV w:val="single" w:sz="6" w:space="0" w:color="000000"/>
            </w:tcBorders>
            <w:shd w:fill="auto" w:val="clear"/>
            <w:tcMar>
              <w:left w:w="-7" w:type="dxa"/>
            </w:tcMar>
          </w:tcPr>
          <w:p>
            <w:pPr>
              <w:pStyle w:val="TableParagraph"/>
              <w:snapToGrid w:val="false"/>
              <w:rPr>
                <w:rFonts w:ascii="Calibri" w:hAnsi="Calibri" w:eastAsia="Calibri" w:cs="Calibri"/>
                <w:sz w:val="20"/>
                <w:szCs w:val="20"/>
                <w:lang w:val="ru-RU"/>
              </w:rPr>
            </w:pPr>
            <w:r>
              <w:rPr>
                <w:rFonts w:eastAsia="Calibri" w:cs="Calibri" w:ascii="Calibri" w:hAnsi="Calibri"/>
                <w:sz w:val="20"/>
                <w:szCs w:val="20"/>
                <w:lang w:val="ru-RU"/>
              </w:rPr>
            </w:r>
          </w:p>
          <w:p>
            <w:pPr>
              <w:pStyle w:val="TableParagraph"/>
              <w:spacing w:before="2" w:after="0"/>
              <w:rPr>
                <w:sz w:val="29"/>
                <w:szCs w:val="29"/>
              </w:rPr>
            </w:pPr>
            <w:r>
              <w:rPr>
                <w:sz w:val="29"/>
                <w:szCs w:val="29"/>
              </w:rPr>
            </w:r>
          </w:p>
          <w:p>
            <w:pPr>
              <w:pStyle w:val="TableParagraph"/>
              <w:ind w:right="2" w:hanging="0"/>
              <w:jc w:val="center"/>
              <w:rPr>
                <w:sz w:val="20"/>
                <w:szCs w:val="20"/>
              </w:rPr>
            </w:pPr>
            <w:r>
              <w:rPr>
                <w:spacing w:val="-1"/>
                <w:sz w:val="20"/>
              </w:rPr>
              <w:t>нет</w:t>
            </w:r>
          </w:p>
        </w:tc>
      </w:tr>
    </w:tbl>
    <w:p>
      <w:pPr>
        <w:pStyle w:val="Normal"/>
        <w:spacing w:before="143" w:after="0"/>
        <w:ind w:firstLine="709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Ведомость образуемых земельных участков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tbl>
      <w:tblPr>
        <w:tblW w:w="10099" w:type="dxa"/>
        <w:jc w:val="left"/>
        <w:tblInd w:w="-28" w:type="dxa"/>
        <w:tblBorders>
          <w:top w:val="single" w:sz="8" w:space="0" w:color="000000"/>
          <w:left w:val="single" w:sz="18" w:space="0" w:color="000000"/>
          <w:bottom w:val="single" w:sz="8" w:space="0" w:color="000000"/>
          <w:right w:val="single" w:sz="12" w:space="0" w:color="000000"/>
          <w:insideH w:val="single" w:sz="8" w:space="0" w:color="000000"/>
          <w:insideV w:val="single" w:sz="12" w:space="0" w:color="000000"/>
        </w:tblBorders>
        <w:tblCellMar>
          <w:top w:w="0" w:type="dxa"/>
          <w:left w:w="-22" w:type="dxa"/>
          <w:bottom w:w="0" w:type="dxa"/>
          <w:right w:w="0" w:type="dxa"/>
        </w:tblCellMar>
      </w:tblPr>
      <w:tblGrid>
        <w:gridCol w:w="1482"/>
        <w:gridCol w:w="4"/>
        <w:gridCol w:w="1653"/>
        <w:gridCol w:w="4"/>
        <w:gridCol w:w="1795"/>
        <w:gridCol w:w="4"/>
        <w:gridCol w:w="2420"/>
        <w:gridCol w:w="4"/>
        <w:gridCol w:w="2698"/>
        <w:gridCol w:w="12"/>
        <w:gridCol w:w="3"/>
        <w:gridCol w:w="12"/>
      </w:tblGrid>
      <w:tr>
        <w:trPr>
          <w:trHeight w:val="415" w:hRule="atLeast"/>
        </w:trPr>
        <w:tc>
          <w:tcPr>
            <w:tcW w:w="10079" w:type="dxa"/>
            <w:gridSpan w:val="9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tabs>
                <w:tab w:val="left" w:pos="4574" w:leader="none"/>
              </w:tabs>
              <w:spacing w:before="59" w:after="0"/>
              <w:ind w:left="97" w:hanging="0"/>
              <w:rPr>
                <w:sz w:val="13"/>
                <w:szCs w:val="13"/>
                <w:lang w:eastAsia="en-US"/>
              </w:rPr>
            </w:pPr>
            <w:r>
              <w:rPr>
                <w:b/>
                <w:bCs/>
                <w:sz w:val="20"/>
                <w:szCs w:val="20"/>
              </w:rPr>
              <w:t>Обозначение</w:t>
            </w:r>
            <w:r>
              <w:rPr>
                <w:b/>
                <w:bCs/>
                <w:spacing w:val="-9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земельного</w:t>
            </w:r>
            <w:r>
              <w:rPr>
                <w:b/>
                <w:bCs/>
                <w:spacing w:val="-7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участка:</w:t>
            </w:r>
            <w:r>
              <w:rPr>
                <w:b/>
                <w:bCs/>
                <w:spacing w:val="34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thick" w:color="000000"/>
              </w:rPr>
              <w:t>ЗУ1</w:t>
            </w:r>
            <w:r>
              <w:rPr>
                <w:b/>
                <w:bCs/>
                <w:sz w:val="20"/>
                <w:szCs w:val="20"/>
              </w:rPr>
              <w:tab/>
              <w:t>Общая</w:t>
            </w:r>
            <w:r>
              <w:rPr>
                <w:b/>
                <w:bCs/>
                <w:spacing w:val="-6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площадь</w:t>
            </w:r>
            <w:r>
              <w:rPr>
                <w:b/>
                <w:bCs/>
                <w:spacing w:val="-4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–</w:t>
            </w:r>
            <w:r>
              <w:rPr>
                <w:b/>
                <w:bCs/>
                <w:spacing w:val="-5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-1"/>
                <w:sz w:val="20"/>
                <w:szCs w:val="20"/>
              </w:rPr>
              <w:t>79413</w:t>
            </w:r>
            <w:r>
              <w:rPr>
                <w:b/>
                <w:bCs/>
                <w:spacing w:val="-5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1"/>
                <w:sz w:val="20"/>
                <w:szCs w:val="20"/>
              </w:rPr>
              <w:t>м</w:t>
            </w:r>
            <w:r>
              <w:rPr>
                <w:b/>
                <w:bCs/>
                <w:spacing w:val="1"/>
                <w:position w:val="9"/>
                <w:sz w:val="13"/>
                <w:szCs w:val="13"/>
              </w:rPr>
              <w:t>2</w:t>
            </w:r>
          </w:p>
        </w:tc>
      </w:tr>
      <w:tr>
        <w:trPr>
          <w:trHeight w:val="636" w:hRule="exact"/>
          <w:cantSplit w:val="true"/>
        </w:trPr>
        <w:tc>
          <w:tcPr>
            <w:tcW w:w="1482" w:type="dxa"/>
            <w:vMerge w:val="restart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napToGrid w:val="false"/>
              <w:spacing w:before="5" w:after="0"/>
              <w:rPr>
                <w:sz w:val="17"/>
                <w:szCs w:val="17"/>
                <w:lang w:val="ru-RU" w:eastAsia="ru-RU"/>
              </w:rPr>
            </w:pPr>
            <w:r>
              <w:rPr>
                <w:sz w:val="17"/>
                <w:szCs w:val="17"/>
                <w:lang w:val="ru-RU" w:eastAsia="ru-RU"/>
              </w:rPr>
            </w:r>
          </w:p>
          <w:p>
            <w:pPr>
              <w:pStyle w:val="TableParagraph"/>
              <w:ind w:left="102" w:right="118" w:firstLine="88"/>
              <w:jc w:val="both"/>
              <w:rPr>
                <w:sz w:val="18"/>
                <w:szCs w:val="18"/>
                <w:lang w:val="en-US"/>
              </w:rPr>
            </w:pPr>
            <w:r>
              <w:rPr>
                <w:b/>
                <w:spacing w:val="-1"/>
                <w:sz w:val="18"/>
              </w:rPr>
              <w:t>Обозначение</w:t>
            </w:r>
            <w:r>
              <w:rPr>
                <w:b/>
                <w:spacing w:val="28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характерных</w:t>
            </w:r>
            <w:r>
              <w:rPr>
                <w:b/>
                <w:spacing w:val="26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точек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границы</w:t>
            </w:r>
          </w:p>
        </w:tc>
        <w:tc>
          <w:tcPr>
            <w:tcW w:w="345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napToGrid w:val="false"/>
              <w:spacing w:before="10"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</w:r>
          </w:p>
          <w:p>
            <w:pPr>
              <w:pStyle w:val="TableParagraph"/>
              <w:ind w:left="1031" w:hanging="0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-16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napToGrid w:val="false"/>
              <w:spacing w:before="5" w:after="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ind w:left="121" w:right="121" w:firstLine="50"/>
              <w:jc w:val="both"/>
              <w:rPr>
                <w:sz w:val="18"/>
                <w:szCs w:val="18"/>
              </w:rPr>
            </w:pPr>
            <w:r>
              <w:rPr>
                <w:b/>
                <w:spacing w:val="-1"/>
                <w:sz w:val="18"/>
              </w:rPr>
              <w:t>Средняя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квадратическая</w:t>
            </w:r>
            <w:r>
              <w:rPr>
                <w:b/>
                <w:spacing w:val="23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погрешность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положения</w:t>
            </w:r>
            <w:r>
              <w:rPr>
                <w:b/>
                <w:spacing w:val="30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характерной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 xml:space="preserve">точки </w:t>
            </w:r>
            <w:r>
              <w:rPr>
                <w:b/>
                <w:sz w:val="18"/>
              </w:rPr>
              <w:t>(M</w:t>
            </w:r>
            <w:r>
              <w:rPr>
                <w:b/>
                <w:position w:val="-1"/>
                <w:sz w:val="12"/>
              </w:rPr>
              <w:t>t</w:t>
            </w:r>
            <w:r>
              <w:rPr>
                <w:b/>
                <w:sz w:val="18"/>
              </w:rPr>
              <w:t>), м</w:t>
            </w:r>
          </w:p>
        </w:tc>
        <w:tc>
          <w:tcPr>
            <w:tcW w:w="2717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napToGrid w:val="fals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  <w:p>
            <w:pPr>
              <w:pStyle w:val="TableParagraph"/>
              <w:spacing w:before="4" w:after="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ind w:left="121" w:hanging="0"/>
              <w:rPr>
                <w:sz w:val="18"/>
                <w:szCs w:val="18"/>
                <w:lang w:val="en-US"/>
              </w:rPr>
            </w:pPr>
            <w:r>
              <w:rPr>
                <w:b/>
                <w:spacing w:val="-1"/>
                <w:sz w:val="18"/>
              </w:rPr>
              <w:t>Описание закрепления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точки</w:t>
            </w:r>
          </w:p>
        </w:tc>
      </w:tr>
      <w:tr>
        <w:trPr>
          <w:trHeight w:val="401" w:hRule="exact"/>
          <w:cantSplit w:val="true"/>
        </w:trPr>
        <w:tc>
          <w:tcPr>
            <w:tcW w:w="1482" w:type="dxa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sz w:val="18"/>
                <w:szCs w:val="18"/>
                <w:lang w:val="ru-RU" w:eastAsia="ru-RU"/>
              </w:rPr>
            </w:pPr>
            <w:r>
              <w:rPr>
                <w:sz w:val="18"/>
                <w:szCs w:val="18"/>
                <w:lang w:val="ru-RU" w:eastAsia="ru-RU"/>
              </w:rPr>
            </w:r>
          </w:p>
        </w:tc>
        <w:tc>
          <w:tcPr>
            <w:tcW w:w="16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74" w:after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Х</w:t>
            </w:r>
          </w:p>
        </w:tc>
        <w:tc>
          <w:tcPr>
            <w:tcW w:w="17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74" w:after="0"/>
              <w:ind w:right="2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У</w:t>
            </w:r>
          </w:p>
        </w:tc>
        <w:tc>
          <w:tcPr>
            <w:tcW w:w="2424" w:type="dxa"/>
            <w:gridSpan w:val="2"/>
            <w:vMerge w:val="continue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</w:r>
          </w:p>
        </w:tc>
        <w:tc>
          <w:tcPr>
            <w:tcW w:w="2717" w:type="dxa"/>
            <w:gridSpan w:val="2"/>
            <w:vMerge w:val="continue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</w:r>
          </w:p>
        </w:tc>
      </w:tr>
      <w:tr>
        <w:trPr>
          <w:trHeight w:val="245" w:hRule="exact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lineRule="exact" w:line="227"/>
              <w:ind w:right="13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lineRule="exact" w:line="227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7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lineRule="exact" w:line="227"/>
              <w:ind w:right="1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lineRule="exact" w:line="227"/>
              <w:ind w:right="4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lineRule="exact" w:line="227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5</w:t>
            </w:r>
          </w:p>
        </w:tc>
      </w:tr>
      <w:tr>
        <w:trPr>
          <w:trHeight w:val="312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56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tabs>
                <w:tab w:val="left" w:pos="1732" w:leader="none"/>
              </w:tabs>
              <w:spacing w:before="5" w:after="0"/>
              <w:ind w:left="111" w:hanging="0"/>
              <w:rPr>
                <w:rFonts w:ascii="Calibri" w:hAnsi="Calibri" w:eastAsia="Calibri" w:cs="Calibri"/>
                <w:sz w:val="22"/>
                <w:szCs w:val="22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-355444,610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-1321153,140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-355387,630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-1321422,220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-355256,839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-1321417,351</w:t>
            </w:r>
          </w:p>
          <w:p>
            <w:pPr>
              <w:pStyle w:val="TableParagraph"/>
              <w:tabs>
                <w:tab w:val="left" w:pos="1732" w:leader="none"/>
              </w:tabs>
              <w:spacing w:before="38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-355255,650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-1321452,080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-355143,520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-1321468,710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-355081,190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-1321466,360</w:t>
            </w:r>
          </w:p>
          <w:p>
            <w:pPr>
              <w:pStyle w:val="TableParagraph"/>
              <w:tabs>
                <w:tab w:val="left" w:pos="1732" w:leader="none"/>
              </w:tabs>
              <w:spacing w:before="38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-355085,560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-1321458,110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-355089,330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-1321449,570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-355092,490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-1321440,790</w:t>
            </w:r>
          </w:p>
          <w:p>
            <w:pPr>
              <w:pStyle w:val="TableParagraph"/>
              <w:tabs>
                <w:tab w:val="left" w:pos="1732" w:leader="none"/>
              </w:tabs>
              <w:spacing w:before="38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-355100,130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-1321416,300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</w:rPr>
            </w:pPr>
            <w:r>
              <w:rPr>
                <w:rFonts w:ascii="Calibri" w:hAnsi="Calibri"/>
              </w:rPr>
              <w:t>x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1"/>
              </w:rPr>
              <w:t>-355107,360</w:t>
              <w:tab/>
            </w:r>
            <w:r>
              <w:rPr>
                <w:rFonts w:ascii="Calibri" w:hAnsi="Calibri"/>
              </w:rPr>
              <w:t>y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-1321391,690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</w:rPr>
            </w:pPr>
            <w:r>
              <w:rPr>
                <w:rFonts w:ascii="Calibri" w:hAnsi="Calibri"/>
              </w:rPr>
              <w:t>x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1"/>
              </w:rPr>
              <w:t>-355114,190</w:t>
              <w:tab/>
            </w:r>
            <w:r>
              <w:rPr>
                <w:rFonts w:ascii="Calibri" w:hAnsi="Calibri"/>
              </w:rPr>
              <w:t>y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-1321366,960</w:t>
            </w:r>
          </w:p>
          <w:p>
            <w:pPr>
              <w:pStyle w:val="TableParagraph"/>
              <w:tabs>
                <w:tab w:val="left" w:pos="1732" w:leader="none"/>
              </w:tabs>
              <w:spacing w:before="39" w:after="0"/>
              <w:ind w:left="111" w:hanging="0"/>
              <w:rPr>
                <w:rFonts w:ascii="Calibri" w:hAnsi="Calibri" w:eastAsia="Calibri" w:cs="Calibri"/>
              </w:rPr>
            </w:pPr>
            <w:r>
              <w:rPr>
                <w:rFonts w:ascii="Calibri" w:hAnsi="Calibri"/>
              </w:rPr>
              <w:t>x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1"/>
              </w:rPr>
              <w:t>-355136,130</w:t>
              <w:tab/>
            </w:r>
            <w:r>
              <w:rPr>
                <w:rFonts w:ascii="Calibri" w:hAnsi="Calibri"/>
              </w:rPr>
              <w:t>y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-1321284,880</w:t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3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40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0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0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10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11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12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2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8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13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8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0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  <w:insideH w:val="single" w:sz="8" w:space="0" w:color="000000"/>
              <w:insideV w:val="single" w:sz="6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8" w:after="0"/>
              <w:ind w:right="5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03" w:hRule="exact"/>
          <w:cantSplit w:val="true"/>
        </w:trPr>
        <w:tc>
          <w:tcPr>
            <w:tcW w:w="1486" w:type="dxa"/>
            <w:gridSpan w:val="2"/>
            <w:tcBorders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41" w:after="0"/>
              <w:ind w:left="97" w:hanging="0"/>
              <w:rPr>
                <w:sz w:val="18"/>
                <w:szCs w:val="18"/>
                <w:lang w:val="en-US" w:eastAsia="en-US"/>
              </w:rPr>
            </w:pPr>
            <w:r>
              <w:rPr>
                <w:spacing w:val="1"/>
                <w:sz w:val="18"/>
              </w:rPr>
              <w:t>14</w:t>
            </w:r>
          </w:p>
        </w:tc>
        <w:tc>
          <w:tcPr>
            <w:tcW w:w="3456" w:type="dxa"/>
            <w:gridSpan w:val="4"/>
            <w:vMerge w:val="restart"/>
            <w:tcBorders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tabs>
                <w:tab w:val="left" w:pos="1732" w:leader="none"/>
              </w:tabs>
              <w:spacing w:lineRule="exact" w:line="266"/>
              <w:ind w:left="111" w:hanging="0"/>
              <w:rPr>
                <w:rFonts w:ascii="Calibri" w:hAnsi="Calibri" w:eastAsia="Calibri" w:cs="Calibri"/>
                <w:sz w:val="22"/>
                <w:szCs w:val="22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-355146,120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-1321237,640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-355200,414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-1321239,647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-355204,120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-1321149,230</w:t>
            </w:r>
          </w:p>
          <w:p>
            <w:pPr>
              <w:pStyle w:val="TableParagraph"/>
              <w:tabs>
                <w:tab w:val="left" w:pos="1732" w:leader="none"/>
              </w:tabs>
              <w:spacing w:before="38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-355209,310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-1321144,420</w:t>
            </w:r>
          </w:p>
          <w:p>
            <w:pPr>
              <w:pStyle w:val="TableParagraph"/>
              <w:tabs>
                <w:tab w:val="left" w:pos="1732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-355444,610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-1321153,140</w:t>
            </w:r>
          </w:p>
        </w:tc>
        <w:tc>
          <w:tcPr>
            <w:tcW w:w="2424" w:type="dxa"/>
            <w:gridSpan w:val="2"/>
            <w:tcBorders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1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1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15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16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17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9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42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2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2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26" w:hRule="exact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  <w:lang w:val="ru-RU" w:eastAsia="ru-RU"/>
              </w:rPr>
            </w:pPr>
            <w:r>
              <w:rPr>
                <w:rFonts w:eastAsia="Calibri" w:cs="Calibri" w:ascii="Calibri" w:hAnsi="Calibri"/>
                <w:sz w:val="22"/>
                <w:szCs w:val="22"/>
                <w:lang w:val="ru-RU" w:eastAsia="ru-RU"/>
              </w:rPr>
            </w:r>
          </w:p>
        </w:tc>
        <w:tc>
          <w:tcPr>
            <w:tcW w:w="1657" w:type="dxa"/>
            <w:gridSpan w:val="2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799" w:type="dxa"/>
            <w:gridSpan w:val="2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  <w:insideH w:val="single" w:sz="1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>
          <w:trHeight w:val="430" w:hRule="atLeast"/>
        </w:trPr>
        <w:tc>
          <w:tcPr>
            <w:tcW w:w="10091" w:type="dxa"/>
            <w:gridSpan w:val="9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tabs>
                <w:tab w:val="left" w:pos="4557" w:leader="none"/>
              </w:tabs>
              <w:spacing w:before="59" w:after="0"/>
              <w:ind w:left="97" w:hanging="0"/>
              <w:rPr>
                <w:sz w:val="13"/>
                <w:szCs w:val="13"/>
              </w:rPr>
            </w:pPr>
            <w:r>
              <w:rPr>
                <w:b/>
                <w:bCs/>
                <w:sz w:val="20"/>
                <w:szCs w:val="20"/>
              </w:rPr>
              <w:t>Обозначение</w:t>
            </w:r>
            <w:r>
              <w:rPr>
                <w:b/>
                <w:bCs/>
                <w:spacing w:val="-8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земельного</w:t>
            </w:r>
            <w:r>
              <w:rPr>
                <w:b/>
                <w:bCs/>
                <w:spacing w:val="-7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участка</w:t>
            </w:r>
            <w:r>
              <w:rPr>
                <w:b/>
                <w:bCs/>
                <w:spacing w:val="37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  <w:u w:val="thick" w:color="000000"/>
              </w:rPr>
              <w:t>ЗУ2</w:t>
            </w:r>
            <w:r>
              <w:rPr>
                <w:b/>
                <w:bCs/>
                <w:sz w:val="20"/>
                <w:szCs w:val="20"/>
              </w:rPr>
              <w:tab/>
              <w:t>Общая</w:t>
            </w:r>
            <w:r>
              <w:rPr>
                <w:b/>
                <w:bCs/>
                <w:spacing w:val="-5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площадь</w:t>
            </w:r>
            <w:r>
              <w:rPr>
                <w:b/>
                <w:bCs/>
                <w:spacing w:val="-4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–</w:t>
            </w:r>
            <w:r>
              <w:rPr>
                <w:b/>
                <w:bCs/>
                <w:spacing w:val="-5"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5996</w:t>
            </w:r>
            <w:r>
              <w:rPr>
                <w:b/>
                <w:bCs/>
                <w:spacing w:val="-6"/>
                <w:sz w:val="20"/>
                <w:szCs w:val="20"/>
              </w:rPr>
              <w:t xml:space="preserve"> </w:t>
            </w:r>
            <w:r>
              <w:rPr>
                <w:b/>
                <w:bCs/>
                <w:spacing w:val="1"/>
                <w:sz w:val="20"/>
                <w:szCs w:val="20"/>
              </w:rPr>
              <w:t>м</w:t>
            </w:r>
            <w:r>
              <w:rPr>
                <w:b/>
                <w:bCs/>
                <w:spacing w:val="1"/>
                <w:position w:val="9"/>
                <w:sz w:val="13"/>
                <w:szCs w:val="13"/>
              </w:rPr>
              <w:t>2</w:t>
            </w:r>
          </w:p>
        </w:tc>
      </w:tr>
      <w:tr>
        <w:trPr>
          <w:trHeight w:val="636" w:hRule="exact"/>
          <w:cantSplit w:val="true"/>
        </w:trPr>
        <w:tc>
          <w:tcPr>
            <w:tcW w:w="1486" w:type="dxa"/>
            <w:gridSpan w:val="2"/>
            <w:vMerge w:val="restart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napToGrid w:val="false"/>
              <w:spacing w:before="5" w:after="0"/>
              <w:rPr>
                <w:sz w:val="17"/>
                <w:szCs w:val="17"/>
                <w:lang w:val="ru-RU" w:eastAsia="ru-RU"/>
              </w:rPr>
            </w:pPr>
            <w:r>
              <w:rPr>
                <w:sz w:val="17"/>
                <w:szCs w:val="17"/>
                <w:lang w:val="ru-RU" w:eastAsia="ru-RU"/>
              </w:rPr>
            </w:r>
          </w:p>
          <w:p>
            <w:pPr>
              <w:pStyle w:val="TableParagraph"/>
              <w:ind w:left="102" w:right="118" w:firstLine="88"/>
              <w:jc w:val="both"/>
              <w:rPr>
                <w:sz w:val="18"/>
                <w:szCs w:val="18"/>
                <w:lang w:val="en-US"/>
              </w:rPr>
            </w:pPr>
            <w:r>
              <w:rPr>
                <w:b/>
                <w:spacing w:val="-1"/>
                <w:sz w:val="18"/>
              </w:rPr>
              <w:t>Обозначение</w:t>
            </w:r>
            <w:r>
              <w:rPr>
                <w:b/>
                <w:spacing w:val="28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характерных</w:t>
            </w:r>
            <w:r>
              <w:rPr>
                <w:b/>
                <w:spacing w:val="26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точек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границы</w:t>
            </w:r>
          </w:p>
        </w:tc>
        <w:tc>
          <w:tcPr>
            <w:tcW w:w="345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napToGrid w:val="false"/>
              <w:spacing w:before="10" w:after="0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  <w:lang w:val="en-US"/>
              </w:rPr>
            </w:r>
          </w:p>
          <w:p>
            <w:pPr>
              <w:pStyle w:val="TableParagraph"/>
              <w:ind w:left="1031" w:hanging="0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-16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napToGrid w:val="false"/>
              <w:spacing w:before="5" w:after="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ind w:left="121" w:right="121" w:firstLine="50"/>
              <w:jc w:val="both"/>
              <w:rPr>
                <w:sz w:val="18"/>
                <w:szCs w:val="18"/>
              </w:rPr>
            </w:pPr>
            <w:r>
              <w:rPr>
                <w:b/>
                <w:spacing w:val="-1"/>
                <w:sz w:val="18"/>
              </w:rPr>
              <w:t>Средняя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квадратическая</w:t>
            </w:r>
            <w:r>
              <w:rPr>
                <w:b/>
                <w:spacing w:val="23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погрешность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положения</w:t>
            </w:r>
            <w:r>
              <w:rPr>
                <w:b/>
                <w:spacing w:val="30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характерной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 xml:space="preserve">точки </w:t>
            </w:r>
            <w:r>
              <w:rPr>
                <w:b/>
                <w:sz w:val="18"/>
              </w:rPr>
              <w:t>(M</w:t>
            </w:r>
            <w:r>
              <w:rPr>
                <w:b/>
                <w:position w:val="-1"/>
                <w:sz w:val="12"/>
              </w:rPr>
              <w:t>t</w:t>
            </w:r>
            <w:r>
              <w:rPr>
                <w:b/>
                <w:sz w:val="18"/>
              </w:rPr>
              <w:t>), м</w:t>
            </w:r>
          </w:p>
        </w:tc>
        <w:tc>
          <w:tcPr>
            <w:tcW w:w="272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napToGrid w:val="fals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  <w:p>
            <w:pPr>
              <w:pStyle w:val="TableParagraph"/>
              <w:spacing w:before="4" w:after="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ind w:left="121" w:hanging="0"/>
              <w:rPr>
                <w:sz w:val="18"/>
                <w:szCs w:val="18"/>
                <w:lang w:val="en-US"/>
              </w:rPr>
            </w:pPr>
            <w:r>
              <w:rPr>
                <w:b/>
                <w:spacing w:val="-1"/>
                <w:sz w:val="18"/>
              </w:rPr>
              <w:t>Описание закрепления</w:t>
            </w:r>
            <w:r>
              <w:rPr>
                <w:b/>
                <w:spacing w:val="3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точки</w:t>
            </w:r>
          </w:p>
        </w:tc>
      </w:tr>
      <w:tr>
        <w:trPr>
          <w:trHeight w:val="398" w:hRule="exact"/>
          <w:cantSplit w:val="true"/>
        </w:trPr>
        <w:tc>
          <w:tcPr>
            <w:tcW w:w="1486" w:type="dxa"/>
            <w:gridSpan w:val="2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sz w:val="18"/>
                <w:szCs w:val="18"/>
                <w:lang w:val="ru-RU" w:eastAsia="ru-RU"/>
              </w:rPr>
            </w:pPr>
            <w:r>
              <w:rPr>
                <w:sz w:val="18"/>
                <w:szCs w:val="18"/>
                <w:lang w:val="ru-RU" w:eastAsia="ru-RU"/>
              </w:rPr>
            </w:r>
          </w:p>
        </w:tc>
        <w:tc>
          <w:tcPr>
            <w:tcW w:w="16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74" w:after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Х</w:t>
            </w:r>
          </w:p>
        </w:tc>
        <w:tc>
          <w:tcPr>
            <w:tcW w:w="17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74" w:after="0"/>
              <w:ind w:right="2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У</w:t>
            </w:r>
          </w:p>
        </w:tc>
        <w:tc>
          <w:tcPr>
            <w:tcW w:w="2424" w:type="dxa"/>
            <w:gridSpan w:val="2"/>
            <w:vMerge w:val="continue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</w:r>
          </w:p>
        </w:tc>
        <w:tc>
          <w:tcPr>
            <w:tcW w:w="2725" w:type="dxa"/>
            <w:vMerge w:val="continue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</w:r>
          </w:p>
        </w:tc>
      </w:tr>
      <w:tr>
        <w:trPr>
          <w:trHeight w:val="248" w:hRule="exact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ind w:right="13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5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7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ind w:right="1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ind w:right="4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ind w:left="5" w:hanging="0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</w:rPr>
              <w:t>5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56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tabs>
                <w:tab w:val="left" w:pos="1730" w:leader="none"/>
              </w:tabs>
              <w:spacing w:before="5" w:after="0"/>
              <w:ind w:left="111" w:hanging="0"/>
              <w:rPr>
                <w:rFonts w:ascii="Calibri" w:hAnsi="Calibri" w:eastAsia="Calibri" w:cs="Calibri"/>
                <w:sz w:val="22"/>
                <w:szCs w:val="22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-355146,120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-1321237,640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-355136,130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-1321284,880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-355114,190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-1321366,960</w:t>
            </w:r>
          </w:p>
          <w:p>
            <w:pPr>
              <w:pStyle w:val="TableParagraph"/>
              <w:tabs>
                <w:tab w:val="left" w:pos="1730" w:leader="none"/>
              </w:tabs>
              <w:spacing w:before="38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-355107,360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-1321391,690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-355100,130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-1321416,300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-355092,490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-1321440,790</w:t>
            </w:r>
          </w:p>
          <w:p>
            <w:pPr>
              <w:pStyle w:val="TableParagraph"/>
              <w:tabs>
                <w:tab w:val="left" w:pos="1732" w:leader="none"/>
              </w:tabs>
              <w:spacing w:before="38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-355089,330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-1321449,570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-355085,560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-1321458,110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-355081,190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-1321466,360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  <w:lang w:val="en-US"/>
              </w:rPr>
            </w:pPr>
            <w:r>
              <w:rPr>
                <w:rFonts w:ascii="Calibri" w:hAnsi="Calibri"/>
                <w:lang w:val="en-US"/>
              </w:rPr>
              <w:t>x</w:t>
            </w:r>
            <w:r>
              <w:rPr>
                <w:rFonts w:ascii="Calibri" w:hAnsi="Calibri"/>
                <w:spacing w:val="1"/>
                <w:lang w:val="en-US"/>
              </w:rPr>
              <w:t xml:space="preserve"> </w:t>
            </w:r>
            <w:r>
              <w:rPr>
                <w:rFonts w:ascii="Calibri" w:hAnsi="Calibri"/>
                <w:spacing w:val="-1"/>
                <w:lang w:val="en-US"/>
              </w:rPr>
              <w:t>-355062,780</w:t>
              <w:tab/>
            </w:r>
            <w:r>
              <w:rPr>
                <w:rFonts w:ascii="Calibri" w:hAnsi="Calibri"/>
                <w:lang w:val="en-US"/>
              </w:rPr>
              <w:t>y</w:t>
            </w:r>
            <w:r>
              <w:rPr>
                <w:rFonts w:ascii="Calibri" w:hAnsi="Calibri"/>
                <w:spacing w:val="3"/>
                <w:lang w:val="en-US"/>
              </w:rPr>
              <w:t xml:space="preserve"> </w:t>
            </w:r>
            <w:r>
              <w:rPr>
                <w:rFonts w:ascii="Calibri" w:hAnsi="Calibri"/>
                <w:spacing w:val="-2"/>
                <w:lang w:val="en-US"/>
              </w:rPr>
              <w:t>-1321465,660</w:t>
            </w:r>
          </w:p>
          <w:p>
            <w:pPr>
              <w:pStyle w:val="TableParagraph"/>
              <w:tabs>
                <w:tab w:val="left" w:pos="1730" w:leader="none"/>
              </w:tabs>
              <w:spacing w:before="39" w:after="0"/>
              <w:ind w:left="111" w:hanging="0"/>
              <w:rPr>
                <w:rFonts w:ascii="Calibri" w:hAnsi="Calibri" w:eastAsia="Calibri" w:cs="Calibri"/>
              </w:rPr>
            </w:pPr>
            <w:r>
              <w:rPr>
                <w:rFonts w:ascii="Calibri" w:hAnsi="Calibri"/>
              </w:rPr>
              <w:t>x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1"/>
              </w:rPr>
              <w:t>-355119,050</w:t>
              <w:tab/>
            </w:r>
            <w:r>
              <w:rPr>
                <w:rFonts w:ascii="Calibri" w:hAnsi="Calibri"/>
              </w:rPr>
              <w:t>y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-1321239,780</w:t>
            </w:r>
          </w:p>
          <w:p>
            <w:pPr>
              <w:pStyle w:val="TableParagraph"/>
              <w:tabs>
                <w:tab w:val="left" w:pos="1730" w:leader="none"/>
              </w:tabs>
              <w:spacing w:before="41" w:after="0"/>
              <w:ind w:left="111" w:hanging="0"/>
              <w:rPr>
                <w:rFonts w:ascii="Calibri" w:hAnsi="Calibri" w:eastAsia="Calibri" w:cs="Calibri"/>
              </w:rPr>
            </w:pPr>
            <w:r>
              <w:rPr>
                <w:rFonts w:ascii="Calibri" w:hAnsi="Calibri"/>
              </w:rPr>
              <w:t>x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  <w:spacing w:val="-1"/>
              </w:rPr>
              <w:t>-355122,480</w:t>
              <w:tab/>
            </w:r>
            <w:r>
              <w:rPr>
                <w:rFonts w:ascii="Calibri" w:hAnsi="Calibri"/>
              </w:rPr>
              <w:t>y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-1321236,950</w:t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left="9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left="9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left="9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left="9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left="9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  <w:insideH w:val="single" w:sz="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left="9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7" w:after="0"/>
              <w:ind w:left="97" w:hanging="0"/>
              <w:rPr>
                <w:sz w:val="18"/>
                <w:szCs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7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10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0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40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11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0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40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12" w:hRule="exact"/>
          <w:cantSplit w:val="true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TableParagraph"/>
              <w:spacing w:before="39" w:after="0"/>
              <w:ind w:left="97" w:hanging="0"/>
              <w:rPr>
                <w:sz w:val="18"/>
                <w:szCs w:val="18"/>
              </w:rPr>
            </w:pPr>
            <w:r>
              <w:rPr>
                <w:spacing w:val="1"/>
                <w:sz w:val="18"/>
              </w:rPr>
              <w:t>12</w:t>
            </w:r>
          </w:p>
        </w:tc>
        <w:tc>
          <w:tcPr>
            <w:tcW w:w="3456" w:type="dxa"/>
            <w:gridSpan w:val="4"/>
            <w:vMerge w:val="continue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insideH w:val="single" w:sz="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ind w:right="2" w:hanging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  <w:insideH w:val="single" w:sz="8" w:space="0" w:color="000000"/>
              <w:insideV w:val="single" w:sz="12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TableParagraph"/>
              <w:spacing w:before="39" w:after="0"/>
              <w:jc w:val="center"/>
              <w:rPr>
                <w:sz w:val="18"/>
                <w:szCs w:val="18"/>
              </w:rPr>
            </w:pPr>
            <w:r>
              <w:rPr>
                <w:sz w:val="18"/>
              </w:rPr>
              <w:t>-</w:t>
            </w:r>
          </w:p>
        </w:tc>
      </w:tr>
      <w:tr>
        <w:trPr>
          <w:trHeight w:val="326" w:hRule="exact"/>
        </w:trPr>
        <w:tc>
          <w:tcPr>
            <w:tcW w:w="1486" w:type="dxa"/>
            <w:gridSpan w:val="2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  <w:lang w:val="ru-RU" w:eastAsia="ru-RU"/>
              </w:rPr>
            </w:pPr>
            <w:r>
              <w:rPr>
                <w:rFonts w:eastAsia="Calibri" w:cs="Calibri" w:ascii="Calibri" w:hAnsi="Calibri"/>
                <w:sz w:val="22"/>
                <w:szCs w:val="22"/>
                <w:lang w:val="ru-RU" w:eastAsia="ru-RU"/>
              </w:rPr>
            </w:r>
          </w:p>
        </w:tc>
        <w:tc>
          <w:tcPr>
            <w:tcW w:w="1657" w:type="dxa"/>
            <w:gridSpan w:val="2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sz w:val="22"/>
                <w:szCs w:val="22"/>
              </w:rPr>
            </w:r>
          </w:p>
        </w:tc>
        <w:tc>
          <w:tcPr>
            <w:tcW w:w="1799" w:type="dxa"/>
            <w:gridSpan w:val="2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insideH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725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  <w:insideH w:val="single" w:sz="18" w:space="0" w:color="000000"/>
              <w:insideV w:val="single" w:sz="18" w:space="0" w:color="000000"/>
            </w:tcBorders>
            <w:shd w:fill="auto" w:val="clear"/>
            <w:tcMar>
              <w:left w:w="-10" w:type="dxa"/>
            </w:tcMar>
          </w:tcPr>
          <w:p>
            <w:pPr>
              <w:pStyle w:val="Normal"/>
              <w:widowControl w:val="false"/>
              <w:snapToGrid w:val="false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</w:tbl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В границах территории настоящего проекта планировки определены следующие зоны с особыми условиями использования территорий:</w:t>
      </w:r>
    </w:p>
    <w:p>
      <w:pPr>
        <w:pStyle w:val="Normal"/>
        <w:ind w:firstLine="709"/>
        <w:jc w:val="both"/>
        <w:rPr/>
      </w:pPr>
      <w:r>
        <w:rPr>
          <w:rFonts w:eastAsia="Calibri"/>
          <w:sz w:val="28"/>
          <w:szCs w:val="28"/>
          <w:lang w:val="ru-RU"/>
        </w:rPr>
        <w:t>- охранные зоны инженерных сетей и сооружений: охранная зона подземного газопровода высокого давления по 10 м с каждой стороны от газопровода.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Территории объектов культурного наследия, зоны охраны объектов культурного наследия на территории в границах настоящего проекта планировки отсутствуют.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Границы публичных сервитутов на территории в границах настоящего проекта планировки отсутствуют.</w:t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center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t>Чертеж красных линий М1:2000 приведен в приложении № 3. Чертеж линии регулирования застройки М1:2000 приведен в приложении №4. Чертеж границ образуемых земельных участков М1:2000 приведен в приложении № 5.</w:t>
      </w:r>
    </w:p>
    <w:p>
      <w:pPr>
        <w:pStyle w:val="Normal"/>
        <w:ind w:firstLine="709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</w:r>
      <w:r>
        <w:br w:type="page"/>
      </w:r>
    </w:p>
    <w:p>
      <w:pPr>
        <w:pStyle w:val="Normal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drawing>
          <wp:anchor behindDoc="0" distT="0" distB="0" distL="114935" distR="114935" simplePos="0" locked="0" layoutInCell="1" allowOverlap="1" relativeHeight="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01740" cy="4457700"/>
            <wp:effectExtent l="0" t="0" r="0" b="0"/>
            <wp:wrapSquare wrapText="bothSides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drawing>
          <wp:anchor behindDoc="0" distT="0" distB="0" distL="114935" distR="114935" simplePos="0" locked="0" layoutInCell="1" allowOverlap="1" relativeHeight="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01740" cy="4457700"/>
            <wp:effectExtent l="0" t="0" r="0" b="0"/>
            <wp:wrapSquare wrapText="bothSides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jc w:val="both"/>
        <w:rPr>
          <w:rFonts w:eastAsia="Calibri"/>
          <w:sz w:val="28"/>
          <w:szCs w:val="28"/>
          <w:lang w:val="ru-RU"/>
        </w:rPr>
      </w:pPr>
      <w:r>
        <w:rPr>
          <w:rFonts w:eastAsia="Calibri"/>
          <w:sz w:val="28"/>
          <w:szCs w:val="28"/>
          <w:lang w:val="ru-RU"/>
        </w:rPr>
        <w:drawing>
          <wp:inline distT="0" distB="0" distL="0" distR="0">
            <wp:extent cx="6298565" cy="4455160"/>
            <wp:effectExtent l="0" t="0" r="0" b="0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drawing>
          <wp:anchor behindDoc="0" distT="0" distB="0" distL="114935" distR="114935" simplePos="0" locked="0" layoutInCell="1" allowOverlap="1" relativeHeight="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01740" cy="4457700"/>
            <wp:effectExtent l="0" t="0" r="0" b="0"/>
            <wp:wrapSquare wrapText="bothSides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drawing>
          <wp:anchor behindDoc="0" distT="0" distB="0" distL="114935" distR="114935" simplePos="0" locked="0" layoutInCell="1" allowOverlap="1" relativeHeight="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94120" cy="8907780"/>
            <wp:effectExtent l="0" t="0" r="0" b="0"/>
            <wp:wrapSquare wrapText="bothSides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drawing>
          <wp:anchor behindDoc="0" distT="0" distB="0" distL="114935" distR="114935" simplePos="0" locked="0" layoutInCell="1" allowOverlap="1" relativeHeight="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94120" cy="8907780"/>
            <wp:effectExtent l="0" t="0" r="0" b="0"/>
            <wp:wrapSquare wrapText="bothSides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drawing>
          <wp:anchor behindDoc="0" distT="0" distB="0" distL="114935" distR="114935" simplePos="0" locked="0" layoutInCell="1" allowOverlap="1" relativeHeight="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94120" cy="8907780"/>
            <wp:effectExtent l="0" t="0" r="0" b="0"/>
            <wp:wrapSquare wrapText="bothSides"/>
            <wp:docPr id="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9"/>
      <w:headerReference w:type="first" r:id="rId10"/>
      <w:type w:val="nextPage"/>
      <w:pgSz w:w="11906" w:h="16838"/>
      <w:pgMar w:left="1418" w:right="567" w:header="709" w:top="1134" w:footer="0" w:bottom="1134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Calibri">
    <w:charset w:val="cc"/>
    <w:family w:val="swiss"/>
    <w:pitch w:val="variable"/>
  </w:font>
  <w:font w:name="Arial">
    <w:charset w:val="cc"/>
    <w:family w:val="swiss"/>
    <w:pitch w:val="variable"/>
  </w:font>
  <w:font w:name="Symbol">
    <w:charset w:val="01"/>
    <w:family w:val="roman"/>
    <w:pitch w:val="variable"/>
  </w:font>
  <w:font w:name="Courier New">
    <w:charset w:val="cc"/>
    <w:family w:val="modern"/>
    <w:pitch w:val="default"/>
  </w:font>
  <w:font w:name="Wingdings">
    <w:charset w:val="02"/>
    <w:family w:val="auto"/>
    <w:pitch w:val="variable"/>
  </w:font>
  <w:font w:name="Arial Narrow">
    <w:charset w:val="cc"/>
    <w:family w:val="swiss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16"/>
      <w:jc w:val="center"/>
      <w:rPr>
        <w:sz w:val="24"/>
        <w:szCs w:val="24"/>
      </w:rPr>
    </w:pPr>
    <w:r>
      <w:rPr>
        <w:sz w:val="24"/>
        <w:szCs w:val="24"/>
      </w:rPr>
      <w:fldChar w:fldCharType="begin"/>
    </w:r>
    <w:r>
      <w:instrText> PAGE </w:instrText>
    </w:r>
    <w:r>
      <w:fldChar w:fldCharType="separate"/>
    </w:r>
    <w:r>
      <w:t>20</w:t>
    </w:r>
    <w:r>
      <w:fldChar w:fldCharType="end"/>
    </w:r>
  </w:p>
  <w:p>
    <w:pPr>
      <w:pStyle w:val="Style16"/>
      <w:rPr/>
    </w:pPr>
    <w:r>
      <w:rPr/>
    </w:r>
  </w:p>
  <w:p>
    <w:pPr>
      <w:pStyle w:val="Normal"/>
      <w:rPr/>
    </w:pPr>
    <w:r>
      <w:rPr/>
    </w:r>
  </w:p>
  <w:p>
    <w:pPr>
      <w:pStyle w:val="Normal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16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pStyle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pStyle w:val="2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pStyle w:val="3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pStyle w:val="4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pStyle w:val="5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pStyle w:val="6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pStyle w:val="7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pStyle w:val="8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pStyle w:val="9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abstractNum w:abstractNumId="3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abstractNum w:abstractNumId="4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abstractNum w:abstractNumId="5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lang w:val="ru-RU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lang w:val="ru-RU"/>
      </w:rPr>
    </w:lvl>
    <w:lvl w:ilvl="2">
      <w:start w:val="1"/>
      <w:numFmt w:val="decimal"/>
      <w:lvlText w:val="%1.%2.%3."/>
      <w:lvlJc w:val="left"/>
      <w:pPr>
        <w:ind w:left="1778" w:hanging="720"/>
      </w:pPr>
      <w:rPr>
        <w:lang w:val="ru-RU"/>
      </w:rPr>
    </w:lvl>
    <w:lvl w:ilvl="3">
      <w:start w:val="1"/>
      <w:numFmt w:val="decimal"/>
      <w:lvlText w:val="%1.%2.%3.%4."/>
      <w:lvlJc w:val="left"/>
      <w:pPr>
        <w:ind w:left="2487" w:hanging="1080"/>
      </w:pPr>
      <w:rPr>
        <w:lang w:val="ru-RU"/>
      </w:rPr>
    </w:lvl>
    <w:lvl w:ilvl="4">
      <w:start w:val="1"/>
      <w:numFmt w:val="decimal"/>
      <w:lvlText w:val="%1.%2.%3.%4.%5."/>
      <w:lvlJc w:val="left"/>
      <w:pPr>
        <w:ind w:left="2836" w:hanging="1080"/>
      </w:pPr>
      <w:rPr>
        <w:lang w:val="ru-RU"/>
      </w:rPr>
    </w:lvl>
    <w:lvl w:ilvl="5">
      <w:start w:val="1"/>
      <w:numFmt w:val="decimal"/>
      <w:lvlText w:val="%1.%2.%3.%4.%5.%6."/>
      <w:lvlJc w:val="left"/>
      <w:pPr>
        <w:ind w:left="3545" w:hanging="1440"/>
      </w:pPr>
      <w:rPr>
        <w:lang w:val="ru-RU"/>
      </w:rPr>
    </w:lvl>
    <w:lvl w:ilvl="6">
      <w:start w:val="1"/>
      <w:numFmt w:val="decimal"/>
      <w:lvlText w:val="%1.%2.%3.%4.%5.%6.%7."/>
      <w:lvlJc w:val="left"/>
      <w:pPr>
        <w:ind w:left="4254" w:hanging="1800"/>
      </w:pPr>
      <w:rPr>
        <w:lang w:val="ru-RU"/>
      </w:rPr>
    </w:lvl>
    <w:lvl w:ilvl="7">
      <w:start w:val="1"/>
      <w:numFmt w:val="decimal"/>
      <w:lvlText w:val="%1.%2.%3.%4.%5.%6.%7.%8."/>
      <w:lvlJc w:val="left"/>
      <w:pPr>
        <w:ind w:left="4603" w:hanging="1800"/>
      </w:pPr>
      <w:rPr>
        <w:lang w:val="ru-RU"/>
      </w:rPr>
    </w:lvl>
    <w:lvl w:ilvl="8">
      <w:start w:val="1"/>
      <w:numFmt w:val="decimal"/>
      <w:lvlText w:val="%1.%2.%3.%4.%5.%6.%7.%8.%9."/>
      <w:lvlJc w:val="left"/>
      <w:pPr>
        <w:ind w:left="5312" w:hanging="2160"/>
      </w:pPr>
      <w:rPr>
        <w:lang w:val="ru-RU"/>
      </w:rPr>
    </w:lvl>
  </w:abstractNum>
  <w:abstractNum w:abstractNumId="7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abstractNum w:abstractNumId="8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abstractNum w:abstractNumId="9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abstractNum w:abstractNumId="10">
    <w:lvl w:ilvl="0">
      <w:start w:val="1"/>
      <w:numFmt w:val="decimal"/>
      <w:lvlText w:val="%1."/>
      <w:lvlJc w:val="left"/>
      <w:pPr>
        <w:ind w:left="1069" w:hanging="360"/>
      </w:pPr>
      <w:rPr>
        <w:sz w:val="28"/>
        <w:szCs w:val="28"/>
        <w:rFonts w:eastAsia="Calibri"/>
        <w:lang w:val="ru-RU"/>
      </w:rPr>
    </w:lvl>
  </w:abstractNum>
  <w:abstractNum w:abstractNumId="11"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sz w:val="28"/>
        <w:szCs w:val="28"/>
        <w:rFonts w:cs="Symbol"/>
        <w:lang w:val="ru-RU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</w:numbering>
</file>

<file path=word/settings.xml><?xml version="1.0" encoding="utf-8"?>
<w:settings xmlns:w="http://schemas.openxmlformats.org/wordprocessingml/2006/main">
  <w:zoom w:percent="100"/>
  <w:defaultTabStop w:val="708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Arial"/>
        <w:sz w:val="24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</w:pPr>
    <w:rPr>
      <w:rFonts w:ascii="Times New Roman" w:hAnsi="Times New Roman" w:eastAsia="Times New Roman" w:cs="Times New Roman"/>
      <w:color w:val="auto"/>
      <w:sz w:val="20"/>
      <w:szCs w:val="20"/>
      <w:lang w:val="en-US" w:bidi="ar-SA" w:eastAsia="zh-CN"/>
    </w:rPr>
  </w:style>
  <w:style w:type="paragraph" w:styleId="1">
    <w:name w:val="Heading 1"/>
    <w:basedOn w:val="Normal"/>
    <w:next w:val="Normal"/>
    <w:qFormat/>
    <w:pPr>
      <w:keepNext/>
      <w:numPr>
        <w:ilvl w:val="0"/>
        <w:numId w:val="1"/>
      </w:numPr>
      <w:spacing w:before="240" w:after="60"/>
      <w:ind w:left="720" w:hanging="720"/>
      <w:outlineLvl w:val="0"/>
      <w:outlineLvl w:val="0"/>
    </w:pPr>
    <w:rPr>
      <w:rFonts w:ascii="Cambria" w:hAnsi="Cambria" w:eastAsia="Times New Roman" w:cs="Times New Roman"/>
      <w:b/>
      <w:bCs/>
      <w:sz w:val="32"/>
      <w:szCs w:val="32"/>
    </w:rPr>
  </w:style>
  <w:style w:type="paragraph" w:styleId="2">
    <w:name w:val="Heading 2"/>
    <w:basedOn w:val="Normal"/>
    <w:next w:val="Normal"/>
    <w:qFormat/>
    <w:pPr>
      <w:keepNext/>
      <w:numPr>
        <w:ilvl w:val="1"/>
        <w:numId w:val="1"/>
      </w:numPr>
      <w:spacing w:before="240" w:after="60"/>
      <w:ind w:left="1440" w:hanging="720"/>
      <w:outlineLvl w:val="1"/>
      <w:outlineLvl w:val="1"/>
    </w:pPr>
    <w:rPr>
      <w:rFonts w:ascii="Cambria" w:hAnsi="Cambria" w:eastAsia="Times New Roman" w:cs="Times New Roman"/>
      <w:b/>
      <w:bCs/>
      <w:i/>
      <w:iCs/>
      <w:sz w:val="28"/>
      <w:szCs w:val="28"/>
    </w:rPr>
  </w:style>
  <w:style w:type="paragraph" w:styleId="3">
    <w:name w:val="Heading 3"/>
    <w:basedOn w:val="Normal"/>
    <w:next w:val="Normal"/>
    <w:qFormat/>
    <w:pPr>
      <w:keepNext/>
      <w:numPr>
        <w:ilvl w:val="2"/>
        <w:numId w:val="1"/>
      </w:numPr>
      <w:spacing w:before="240" w:after="60"/>
      <w:ind w:left="2160" w:hanging="720"/>
      <w:outlineLvl w:val="2"/>
      <w:outlineLvl w:val="2"/>
    </w:pPr>
    <w:rPr>
      <w:rFonts w:ascii="Cambria" w:hAnsi="Cambria" w:eastAsia="Times New Roman" w:cs="Times New Roman"/>
      <w:b/>
      <w:bCs/>
      <w:sz w:val="26"/>
      <w:szCs w:val="26"/>
    </w:rPr>
  </w:style>
  <w:style w:type="paragraph" w:styleId="4">
    <w:name w:val="Heading 4"/>
    <w:basedOn w:val="Normal"/>
    <w:next w:val="Normal"/>
    <w:qFormat/>
    <w:pPr>
      <w:keepNext/>
      <w:numPr>
        <w:ilvl w:val="3"/>
        <w:numId w:val="1"/>
      </w:numPr>
      <w:spacing w:before="240" w:after="60"/>
      <w:ind w:left="2880" w:hanging="720"/>
      <w:outlineLvl w:val="3"/>
      <w:outlineLvl w:val="3"/>
    </w:pPr>
    <w:rPr>
      <w:rFonts w:ascii="Calibri" w:hAnsi="Calibri" w:eastAsia="Times New Roman" w:cs="Times New Roman"/>
      <w:b/>
      <w:bCs/>
      <w:sz w:val="28"/>
      <w:szCs w:val="28"/>
    </w:rPr>
  </w:style>
  <w:style w:type="paragraph" w:styleId="5">
    <w:name w:val="Heading 5"/>
    <w:basedOn w:val="Normal"/>
    <w:next w:val="Normal"/>
    <w:qFormat/>
    <w:pPr>
      <w:numPr>
        <w:ilvl w:val="4"/>
        <w:numId w:val="1"/>
      </w:numPr>
      <w:spacing w:before="240" w:after="60"/>
      <w:ind w:left="3600" w:hanging="720"/>
      <w:outlineLvl w:val="4"/>
      <w:outlineLvl w:val="4"/>
    </w:pPr>
    <w:rPr>
      <w:rFonts w:ascii="Calibri" w:hAnsi="Calibri"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Normal"/>
    <w:next w:val="Normal"/>
    <w:qFormat/>
    <w:pPr>
      <w:numPr>
        <w:ilvl w:val="5"/>
        <w:numId w:val="1"/>
      </w:numPr>
      <w:spacing w:before="240" w:after="60"/>
      <w:ind w:left="4320" w:hanging="720"/>
      <w:outlineLvl w:val="5"/>
      <w:outlineLvl w:val="5"/>
    </w:pPr>
    <w:rPr>
      <w:b/>
      <w:bCs/>
      <w:sz w:val="22"/>
      <w:szCs w:val="22"/>
    </w:rPr>
  </w:style>
  <w:style w:type="paragraph" w:styleId="7">
    <w:name w:val="Heading 7"/>
    <w:basedOn w:val="Normal"/>
    <w:next w:val="Normal"/>
    <w:qFormat/>
    <w:pPr>
      <w:numPr>
        <w:ilvl w:val="6"/>
        <w:numId w:val="1"/>
      </w:numPr>
      <w:spacing w:before="240" w:after="60"/>
      <w:ind w:left="5040" w:hanging="720"/>
      <w:outlineLvl w:val="6"/>
      <w:outlineLvl w:val="6"/>
    </w:pPr>
    <w:rPr>
      <w:rFonts w:ascii="Calibri" w:hAnsi="Calibri" w:eastAsia="Times New Roman" w:cs="Times New Roman"/>
      <w:sz w:val="24"/>
      <w:szCs w:val="24"/>
    </w:rPr>
  </w:style>
  <w:style w:type="paragraph" w:styleId="8">
    <w:name w:val="Heading 8"/>
    <w:basedOn w:val="Normal"/>
    <w:next w:val="Normal"/>
    <w:qFormat/>
    <w:pPr>
      <w:numPr>
        <w:ilvl w:val="7"/>
        <w:numId w:val="1"/>
      </w:numPr>
      <w:spacing w:before="240" w:after="60"/>
      <w:ind w:left="5760" w:hanging="720"/>
      <w:outlineLvl w:val="7"/>
      <w:outlineLvl w:val="7"/>
    </w:pPr>
    <w:rPr>
      <w:rFonts w:ascii="Calibri" w:hAnsi="Calibri" w:eastAsia="Times New Roman" w:cs="Times New Roman"/>
      <w:i/>
      <w:iCs/>
      <w:sz w:val="24"/>
      <w:szCs w:val="24"/>
    </w:rPr>
  </w:style>
  <w:style w:type="paragraph" w:styleId="9">
    <w:name w:val="Heading 9"/>
    <w:basedOn w:val="Normal"/>
    <w:next w:val="Normal"/>
    <w:qFormat/>
    <w:pPr>
      <w:numPr>
        <w:ilvl w:val="8"/>
        <w:numId w:val="1"/>
      </w:numPr>
      <w:spacing w:before="240" w:after="60"/>
      <w:ind w:left="6480" w:hanging="720"/>
      <w:outlineLvl w:val="8"/>
      <w:outlineLvl w:val="8"/>
    </w:pPr>
    <w:rPr>
      <w:rFonts w:ascii="Cambria" w:hAnsi="Cambria" w:eastAsia="Times New Roman" w:cs="Times New Roman"/>
      <w:sz w:val="22"/>
      <w:szCs w:val="22"/>
    </w:rPr>
  </w:style>
  <w:style w:type="character" w:styleId="WW8Num1z0">
    <w:name w:val="WW8Num1z0"/>
    <w:qFormat/>
    <w:rPr/>
  </w:style>
  <w:style w:type="character" w:styleId="WW8Num1z1">
    <w:name w:val="WW8Num1z1"/>
    <w:qFormat/>
    <w:rPr/>
  </w:style>
  <w:style w:type="character" w:styleId="WW8Num1z2">
    <w:name w:val="WW8Num1z2"/>
    <w:qFormat/>
    <w:rPr/>
  </w:style>
  <w:style w:type="character" w:styleId="WW8Num1z3">
    <w:name w:val="WW8Num1z3"/>
    <w:qFormat/>
    <w:rPr/>
  </w:style>
  <w:style w:type="character" w:styleId="WW8Num1z4">
    <w:name w:val="WW8Num1z4"/>
    <w:qFormat/>
    <w:rPr/>
  </w:style>
  <w:style w:type="character" w:styleId="WW8Num1z5">
    <w:name w:val="WW8Num1z5"/>
    <w:qFormat/>
    <w:rPr/>
  </w:style>
  <w:style w:type="character" w:styleId="WW8Num1z6">
    <w:name w:val="WW8Num1z6"/>
    <w:qFormat/>
    <w:rPr/>
  </w:style>
  <w:style w:type="character" w:styleId="WW8Num1z7">
    <w:name w:val="WW8Num1z7"/>
    <w:qFormat/>
    <w:rPr/>
  </w:style>
  <w:style w:type="character" w:styleId="WW8Num1z8">
    <w:name w:val="WW8Num1z8"/>
    <w:qFormat/>
    <w:rPr/>
  </w:style>
  <w:style w:type="character" w:styleId="WW8Num2z0">
    <w:name w:val="WW8Num2z0"/>
    <w:qFormat/>
    <w:rPr/>
  </w:style>
  <w:style w:type="character" w:styleId="WW8Num2z1">
    <w:name w:val="WW8Num2z1"/>
    <w:qFormat/>
    <w:rPr/>
  </w:style>
  <w:style w:type="character" w:styleId="WW8Num2z2">
    <w:name w:val="WW8Num2z2"/>
    <w:qFormat/>
    <w:rPr/>
  </w:style>
  <w:style w:type="character" w:styleId="WW8Num2z3">
    <w:name w:val="WW8Num2z3"/>
    <w:qFormat/>
    <w:rPr/>
  </w:style>
  <w:style w:type="character" w:styleId="WW8Num2z4">
    <w:name w:val="WW8Num2z4"/>
    <w:qFormat/>
    <w:rPr/>
  </w:style>
  <w:style w:type="character" w:styleId="WW8Num2z5">
    <w:name w:val="WW8Num2z5"/>
    <w:qFormat/>
    <w:rPr/>
  </w:style>
  <w:style w:type="character" w:styleId="WW8Num2z6">
    <w:name w:val="WW8Num2z6"/>
    <w:qFormat/>
    <w:rPr/>
  </w:style>
  <w:style w:type="character" w:styleId="WW8Num2z7">
    <w:name w:val="WW8Num2z7"/>
    <w:qFormat/>
    <w:rPr/>
  </w:style>
  <w:style w:type="character" w:styleId="WW8Num2z8">
    <w:name w:val="WW8Num2z8"/>
    <w:qFormat/>
    <w:rPr/>
  </w:style>
  <w:style w:type="character" w:styleId="WW8Num3z0">
    <w:name w:val="WW8Num3z0"/>
    <w:qFormat/>
    <w:rPr/>
  </w:style>
  <w:style w:type="character" w:styleId="WW8Num3z1">
    <w:name w:val="WW8Num3z1"/>
    <w:qFormat/>
    <w:rPr/>
  </w:style>
  <w:style w:type="character" w:styleId="WW8Num3z2">
    <w:name w:val="WW8Num3z2"/>
    <w:qFormat/>
    <w:rPr/>
  </w:style>
  <w:style w:type="character" w:styleId="WW8Num3z3">
    <w:name w:val="WW8Num3z3"/>
    <w:qFormat/>
    <w:rPr/>
  </w:style>
  <w:style w:type="character" w:styleId="WW8Num3z4">
    <w:name w:val="WW8Num3z4"/>
    <w:qFormat/>
    <w:rPr/>
  </w:style>
  <w:style w:type="character" w:styleId="WW8Num3z5">
    <w:name w:val="WW8Num3z5"/>
    <w:qFormat/>
    <w:rPr/>
  </w:style>
  <w:style w:type="character" w:styleId="WW8Num3z6">
    <w:name w:val="WW8Num3z6"/>
    <w:qFormat/>
    <w:rPr/>
  </w:style>
  <w:style w:type="character" w:styleId="WW8Num3z7">
    <w:name w:val="WW8Num3z7"/>
    <w:qFormat/>
    <w:rPr/>
  </w:style>
  <w:style w:type="character" w:styleId="WW8Num3z8">
    <w:name w:val="WW8Num3z8"/>
    <w:qFormat/>
    <w:rPr/>
  </w:style>
  <w:style w:type="character" w:styleId="WW8Num4z0">
    <w:name w:val="WW8Num4z0"/>
    <w:qFormat/>
    <w:rPr/>
  </w:style>
  <w:style w:type="character" w:styleId="WW8Num4z1">
    <w:name w:val="WW8Num4z1"/>
    <w:qFormat/>
    <w:rPr/>
  </w:style>
  <w:style w:type="character" w:styleId="WW8Num4z2">
    <w:name w:val="WW8Num4z2"/>
    <w:qFormat/>
    <w:rPr/>
  </w:style>
  <w:style w:type="character" w:styleId="WW8Num4z3">
    <w:name w:val="WW8Num4z3"/>
    <w:qFormat/>
    <w:rPr/>
  </w:style>
  <w:style w:type="character" w:styleId="WW8Num4z4">
    <w:name w:val="WW8Num4z4"/>
    <w:qFormat/>
    <w:rPr/>
  </w:style>
  <w:style w:type="character" w:styleId="WW8Num4z5">
    <w:name w:val="WW8Num4z5"/>
    <w:qFormat/>
    <w:rPr/>
  </w:style>
  <w:style w:type="character" w:styleId="WW8Num4z6">
    <w:name w:val="WW8Num4z6"/>
    <w:qFormat/>
    <w:rPr/>
  </w:style>
  <w:style w:type="character" w:styleId="WW8Num4z7">
    <w:name w:val="WW8Num4z7"/>
    <w:qFormat/>
    <w:rPr/>
  </w:style>
  <w:style w:type="character" w:styleId="WW8Num4z8">
    <w:name w:val="WW8Num4z8"/>
    <w:qFormat/>
    <w:rPr/>
  </w:style>
  <w:style w:type="character" w:styleId="WW8Num5z0">
    <w:name w:val="WW8Num5z0"/>
    <w:qFormat/>
    <w:rPr/>
  </w:style>
  <w:style w:type="character" w:styleId="WW8Num5z1">
    <w:name w:val="WW8Num5z1"/>
    <w:qFormat/>
    <w:rPr/>
  </w:style>
  <w:style w:type="character" w:styleId="WW8Num5z2">
    <w:name w:val="WW8Num5z2"/>
    <w:qFormat/>
    <w:rPr/>
  </w:style>
  <w:style w:type="character" w:styleId="WW8Num5z3">
    <w:name w:val="WW8Num5z3"/>
    <w:qFormat/>
    <w:rPr/>
  </w:style>
  <w:style w:type="character" w:styleId="WW8Num5z4">
    <w:name w:val="WW8Num5z4"/>
    <w:qFormat/>
    <w:rPr/>
  </w:style>
  <w:style w:type="character" w:styleId="WW8Num5z5">
    <w:name w:val="WW8Num5z5"/>
    <w:qFormat/>
    <w:rPr/>
  </w:style>
  <w:style w:type="character" w:styleId="WW8Num5z6">
    <w:name w:val="WW8Num5z6"/>
    <w:qFormat/>
    <w:rPr/>
  </w:style>
  <w:style w:type="character" w:styleId="WW8Num5z7">
    <w:name w:val="WW8Num5z7"/>
    <w:qFormat/>
    <w:rPr/>
  </w:style>
  <w:style w:type="character" w:styleId="WW8Num5z8">
    <w:name w:val="WW8Num5z8"/>
    <w:qFormat/>
    <w:rPr/>
  </w:style>
  <w:style w:type="character" w:styleId="WW8Num6z0">
    <w:name w:val="WW8Num6z0"/>
    <w:qFormat/>
    <w:rPr>
      <w:rFonts w:ascii="Arial" w:hAnsi="Arial" w:cs="Arial"/>
      <w:b/>
      <w:bCs/>
      <w:w w:val="99"/>
      <w:sz w:val="24"/>
      <w:szCs w:val="24"/>
    </w:rPr>
  </w:style>
  <w:style w:type="character" w:styleId="WW8Num6z1">
    <w:name w:val="WW8Num6z1"/>
    <w:qFormat/>
    <w:rPr>
      <w:rFonts w:ascii="Calibri" w:hAnsi="Calibri" w:cs="Calibri"/>
      <w:b w:val="false"/>
      <w:bCs w:val="false"/>
      <w:sz w:val="22"/>
      <w:szCs w:val="22"/>
    </w:rPr>
  </w:style>
  <w:style w:type="character" w:styleId="WW8Num6z2">
    <w:name w:val="WW8Num6z2"/>
    <w:qFormat/>
    <w:rPr/>
  </w:style>
  <w:style w:type="character" w:styleId="WW8Num6z3">
    <w:name w:val="WW8Num6z3"/>
    <w:qFormat/>
    <w:rPr/>
  </w:style>
  <w:style w:type="character" w:styleId="WW8Num6z4">
    <w:name w:val="WW8Num6z4"/>
    <w:qFormat/>
    <w:rPr/>
  </w:style>
  <w:style w:type="character" w:styleId="WW8Num6z5">
    <w:name w:val="WW8Num6z5"/>
    <w:qFormat/>
    <w:rPr/>
  </w:style>
  <w:style w:type="character" w:styleId="WW8Num6z6">
    <w:name w:val="WW8Num6z6"/>
    <w:qFormat/>
    <w:rPr/>
  </w:style>
  <w:style w:type="character" w:styleId="WW8Num6z7">
    <w:name w:val="WW8Num6z7"/>
    <w:qFormat/>
    <w:rPr/>
  </w:style>
  <w:style w:type="character" w:styleId="WW8Num6z8">
    <w:name w:val="WW8Num6z8"/>
    <w:qFormat/>
    <w:rPr/>
  </w:style>
  <w:style w:type="character" w:styleId="WW8Num7z0">
    <w:name w:val="WW8Num7z0"/>
    <w:qFormat/>
    <w:rPr/>
  </w:style>
  <w:style w:type="character" w:styleId="WW8Num7z1">
    <w:name w:val="WW8Num7z1"/>
    <w:qFormat/>
    <w:rPr>
      <w:rFonts w:ascii="Times New Roman" w:hAnsi="Times New Roman" w:cs="Times New Roman"/>
      <w:b w:val="false"/>
      <w:bCs w:val="false"/>
      <w:sz w:val="24"/>
      <w:szCs w:val="24"/>
    </w:rPr>
  </w:style>
  <w:style w:type="character" w:styleId="WW8Num7z2">
    <w:name w:val="WW8Num7z2"/>
    <w:qFormat/>
    <w:rPr>
      <w:rFonts w:ascii="Times New Roman" w:hAnsi="Times New Roman" w:cs="Times New Roman"/>
      <w:b w:val="false"/>
      <w:bCs w:val="false"/>
      <w:spacing w:val="1"/>
      <w:sz w:val="28"/>
      <w:szCs w:val="28"/>
    </w:rPr>
  </w:style>
  <w:style w:type="character" w:styleId="WW8Num7z3">
    <w:name w:val="WW8Num7z3"/>
    <w:qFormat/>
    <w:rPr/>
  </w:style>
  <w:style w:type="character" w:styleId="WW8Num7z4">
    <w:name w:val="WW8Num7z4"/>
    <w:qFormat/>
    <w:rPr/>
  </w:style>
  <w:style w:type="character" w:styleId="WW8Num7z5">
    <w:name w:val="WW8Num7z5"/>
    <w:qFormat/>
    <w:rPr/>
  </w:style>
  <w:style w:type="character" w:styleId="WW8Num7z6">
    <w:name w:val="WW8Num7z6"/>
    <w:qFormat/>
    <w:rPr/>
  </w:style>
  <w:style w:type="character" w:styleId="WW8Num7z7">
    <w:name w:val="WW8Num7z7"/>
    <w:qFormat/>
    <w:rPr/>
  </w:style>
  <w:style w:type="character" w:styleId="WW8Num7z8">
    <w:name w:val="WW8Num7z8"/>
    <w:qFormat/>
    <w:rPr/>
  </w:style>
  <w:style w:type="character" w:styleId="WW8Num8z0">
    <w:name w:val="WW8Num8z0"/>
    <w:qFormat/>
    <w:rPr/>
  </w:style>
  <w:style w:type="character" w:styleId="WW8Num8z1">
    <w:name w:val="WW8Num8z1"/>
    <w:qFormat/>
    <w:rPr/>
  </w:style>
  <w:style w:type="character" w:styleId="WW8Num8z2">
    <w:name w:val="WW8Num8z2"/>
    <w:qFormat/>
    <w:rPr/>
  </w:style>
  <w:style w:type="character" w:styleId="WW8Num8z3">
    <w:name w:val="WW8Num8z3"/>
    <w:qFormat/>
    <w:rPr/>
  </w:style>
  <w:style w:type="character" w:styleId="WW8Num8z4">
    <w:name w:val="WW8Num8z4"/>
    <w:qFormat/>
    <w:rPr/>
  </w:style>
  <w:style w:type="character" w:styleId="WW8Num8z5">
    <w:name w:val="WW8Num8z5"/>
    <w:qFormat/>
    <w:rPr/>
  </w:style>
  <w:style w:type="character" w:styleId="WW8Num8z6">
    <w:name w:val="WW8Num8z6"/>
    <w:qFormat/>
    <w:rPr/>
  </w:style>
  <w:style w:type="character" w:styleId="WW8Num8z7">
    <w:name w:val="WW8Num8z7"/>
    <w:qFormat/>
    <w:rPr/>
  </w:style>
  <w:style w:type="character" w:styleId="WW8Num8z8">
    <w:name w:val="WW8Num8z8"/>
    <w:qFormat/>
    <w:rPr/>
  </w:style>
  <w:style w:type="character" w:styleId="WW8Num9z0">
    <w:name w:val="WW8Num9z0"/>
    <w:qFormat/>
    <w:rPr/>
  </w:style>
  <w:style w:type="character" w:styleId="WW8Num9z1">
    <w:name w:val="WW8Num9z1"/>
    <w:qFormat/>
    <w:rPr/>
  </w:style>
  <w:style w:type="character" w:styleId="WW8Num9z2">
    <w:name w:val="WW8Num9z2"/>
    <w:qFormat/>
    <w:rPr/>
  </w:style>
  <w:style w:type="character" w:styleId="WW8Num9z3">
    <w:name w:val="WW8Num9z3"/>
    <w:qFormat/>
    <w:rPr/>
  </w:style>
  <w:style w:type="character" w:styleId="WW8Num9z4">
    <w:name w:val="WW8Num9z4"/>
    <w:qFormat/>
    <w:rPr/>
  </w:style>
  <w:style w:type="character" w:styleId="WW8Num9z5">
    <w:name w:val="WW8Num9z5"/>
    <w:qFormat/>
    <w:rPr/>
  </w:style>
  <w:style w:type="character" w:styleId="WW8Num9z6">
    <w:name w:val="WW8Num9z6"/>
    <w:qFormat/>
    <w:rPr/>
  </w:style>
  <w:style w:type="character" w:styleId="WW8Num9z7">
    <w:name w:val="WW8Num9z7"/>
    <w:qFormat/>
    <w:rPr/>
  </w:style>
  <w:style w:type="character" w:styleId="WW8Num9z8">
    <w:name w:val="WW8Num9z8"/>
    <w:qFormat/>
    <w:rPr/>
  </w:style>
  <w:style w:type="character" w:styleId="WW8Num10z0">
    <w:name w:val="WW8Num10z0"/>
    <w:qFormat/>
    <w:rPr>
      <w:rFonts w:ascii="Symbol" w:hAnsi="Symbol" w:eastAsia="Calibri" w:cs="Symbol"/>
      <w:sz w:val="28"/>
      <w:szCs w:val="28"/>
      <w:lang w:val="ru-RU"/>
    </w:rPr>
  </w:style>
  <w:style w:type="character" w:styleId="WW8Num10z1">
    <w:name w:val="WW8Num10z1"/>
    <w:qFormat/>
    <w:rPr>
      <w:rFonts w:ascii="Courier New" w:hAnsi="Courier New" w:cs="Courier New"/>
    </w:rPr>
  </w:style>
  <w:style w:type="character" w:styleId="WW8Num10z2">
    <w:name w:val="WW8Num10z2"/>
    <w:qFormat/>
    <w:rPr>
      <w:rFonts w:ascii="Wingdings" w:hAnsi="Wingdings" w:cs="Wingdings"/>
    </w:rPr>
  </w:style>
  <w:style w:type="character" w:styleId="WW8Num11z0">
    <w:name w:val="WW8Num11z0"/>
    <w:qFormat/>
    <w:rPr>
      <w:rFonts w:ascii="Symbol" w:hAnsi="Symbol" w:eastAsia="Calibri" w:cs="Symbol"/>
      <w:sz w:val="28"/>
      <w:szCs w:val="28"/>
      <w:lang w:val="ru-RU"/>
    </w:rPr>
  </w:style>
  <w:style w:type="character" w:styleId="WW8Num11z1">
    <w:name w:val="WW8Num11z1"/>
    <w:qFormat/>
    <w:rPr>
      <w:rFonts w:ascii="Courier New" w:hAnsi="Courier New" w:cs="Courier New"/>
    </w:rPr>
  </w:style>
  <w:style w:type="character" w:styleId="WW8Num11z2">
    <w:name w:val="WW8Num11z2"/>
    <w:qFormat/>
    <w:rPr>
      <w:rFonts w:ascii="Wingdings" w:hAnsi="Wingdings" w:cs="Wingdings"/>
    </w:rPr>
  </w:style>
  <w:style w:type="character" w:styleId="WW8Num12z0">
    <w:name w:val="WW8Num12z0"/>
    <w:qFormat/>
    <w:rPr>
      <w:rFonts w:ascii="Symbol" w:hAnsi="Symbol" w:cs="Symbol"/>
    </w:rPr>
  </w:style>
  <w:style w:type="character" w:styleId="WW8Num12z1">
    <w:name w:val="WW8Num12z1"/>
    <w:qFormat/>
    <w:rPr>
      <w:rFonts w:ascii="Courier New" w:hAnsi="Courier New" w:cs="Courier New"/>
    </w:rPr>
  </w:style>
  <w:style w:type="character" w:styleId="WW8Num12z2">
    <w:name w:val="WW8Num12z2"/>
    <w:qFormat/>
    <w:rPr>
      <w:rFonts w:ascii="Wingdings" w:hAnsi="Wingdings" w:cs="Wingdings"/>
    </w:rPr>
  </w:style>
  <w:style w:type="character" w:styleId="WW8Num13z0">
    <w:name w:val="WW8Num13z0"/>
    <w:qFormat/>
    <w:rPr>
      <w:rFonts w:ascii="Symbol" w:hAnsi="Symbol" w:cs="Symbol"/>
    </w:rPr>
  </w:style>
  <w:style w:type="character" w:styleId="WW8Num13z1">
    <w:name w:val="WW8Num13z1"/>
    <w:qFormat/>
    <w:rPr>
      <w:rFonts w:ascii="Courier New" w:hAnsi="Courier New" w:cs="Courier New"/>
    </w:rPr>
  </w:style>
  <w:style w:type="character" w:styleId="WW8Num13z2">
    <w:name w:val="WW8Num13z2"/>
    <w:qFormat/>
    <w:rPr>
      <w:rFonts w:ascii="Wingdings" w:hAnsi="Wingdings" w:cs="Wingdings"/>
    </w:rPr>
  </w:style>
  <w:style w:type="character" w:styleId="WW8Num14z0">
    <w:name w:val="WW8Num14z0"/>
    <w:qFormat/>
    <w:rPr>
      <w:rFonts w:ascii="Symbol" w:hAnsi="Symbol" w:cs="Symbol"/>
    </w:rPr>
  </w:style>
  <w:style w:type="character" w:styleId="WW8Num14z1">
    <w:name w:val="WW8Num14z1"/>
    <w:qFormat/>
    <w:rPr>
      <w:rFonts w:ascii="Courier New" w:hAnsi="Courier New" w:cs="Courier New"/>
    </w:rPr>
  </w:style>
  <w:style w:type="character" w:styleId="WW8Num14z2">
    <w:name w:val="WW8Num14z2"/>
    <w:qFormat/>
    <w:rPr>
      <w:rFonts w:ascii="Wingdings" w:hAnsi="Wingdings" w:cs="Wingdings"/>
    </w:rPr>
  </w:style>
  <w:style w:type="character" w:styleId="WW8Num15z0">
    <w:name w:val="WW8Num15z0"/>
    <w:qFormat/>
    <w:rPr>
      <w:rFonts w:ascii="Times New Roman" w:hAnsi="Times New Roman" w:cs="Times New Roman"/>
    </w:rPr>
  </w:style>
  <w:style w:type="character" w:styleId="WW8Num15z1">
    <w:name w:val="WW8Num15z1"/>
    <w:qFormat/>
    <w:rPr/>
  </w:style>
  <w:style w:type="character" w:styleId="WW8Num15z2">
    <w:name w:val="WW8Num15z2"/>
    <w:qFormat/>
    <w:rPr/>
  </w:style>
  <w:style w:type="character" w:styleId="WW8Num15z3">
    <w:name w:val="WW8Num15z3"/>
    <w:qFormat/>
    <w:rPr/>
  </w:style>
  <w:style w:type="character" w:styleId="WW8Num15z4">
    <w:name w:val="WW8Num15z4"/>
    <w:qFormat/>
    <w:rPr/>
  </w:style>
  <w:style w:type="character" w:styleId="WW8Num15z5">
    <w:name w:val="WW8Num15z5"/>
    <w:qFormat/>
    <w:rPr/>
  </w:style>
  <w:style w:type="character" w:styleId="WW8Num15z6">
    <w:name w:val="WW8Num15z6"/>
    <w:qFormat/>
    <w:rPr/>
  </w:style>
  <w:style w:type="character" w:styleId="WW8Num15z7">
    <w:name w:val="WW8Num15z7"/>
    <w:qFormat/>
    <w:rPr/>
  </w:style>
  <w:style w:type="character" w:styleId="WW8Num15z8">
    <w:name w:val="WW8Num15z8"/>
    <w:qFormat/>
    <w:rPr/>
  </w:style>
  <w:style w:type="character" w:styleId="WW8Num16z0">
    <w:name w:val="WW8Num16z0"/>
    <w:qFormat/>
    <w:rPr>
      <w:rFonts w:ascii="Symbol" w:hAnsi="Symbol" w:cs="Symbol"/>
    </w:rPr>
  </w:style>
  <w:style w:type="character" w:styleId="WW8Num16z1">
    <w:name w:val="WW8Num16z1"/>
    <w:qFormat/>
    <w:rPr>
      <w:rFonts w:ascii="Courier New" w:hAnsi="Courier New" w:cs="Courier New"/>
    </w:rPr>
  </w:style>
  <w:style w:type="character" w:styleId="WW8Num16z2">
    <w:name w:val="WW8Num16z2"/>
    <w:qFormat/>
    <w:rPr>
      <w:rFonts w:ascii="Wingdings" w:hAnsi="Wingdings" w:cs="Wingdings"/>
    </w:rPr>
  </w:style>
  <w:style w:type="character" w:styleId="WW8Num17z0">
    <w:name w:val="WW8Num17z0"/>
    <w:qFormat/>
    <w:rPr>
      <w:rFonts w:ascii="Symbol" w:hAnsi="Symbol" w:eastAsia="Calibri" w:cs="Symbol"/>
      <w:sz w:val="28"/>
      <w:szCs w:val="28"/>
      <w:lang w:val="ru-RU"/>
    </w:rPr>
  </w:style>
  <w:style w:type="character" w:styleId="WW8Num17z1">
    <w:name w:val="WW8Num17z1"/>
    <w:qFormat/>
    <w:rPr>
      <w:rFonts w:ascii="Courier New" w:hAnsi="Courier New" w:cs="Courier New"/>
    </w:rPr>
  </w:style>
  <w:style w:type="character" w:styleId="WW8Num17z2">
    <w:name w:val="WW8Num17z2"/>
    <w:qFormat/>
    <w:rPr>
      <w:rFonts w:ascii="Wingdings" w:hAnsi="Wingdings" w:cs="Wingdings"/>
    </w:rPr>
  </w:style>
  <w:style w:type="character" w:styleId="WW8Num18z0">
    <w:name w:val="WW8Num18z0"/>
    <w:qFormat/>
    <w:rPr>
      <w:rFonts w:ascii="Symbol" w:hAnsi="Symbol" w:cs="Symbol"/>
    </w:rPr>
  </w:style>
  <w:style w:type="character" w:styleId="WW8Num18z1">
    <w:name w:val="WW8Num18z1"/>
    <w:qFormat/>
    <w:rPr>
      <w:rFonts w:ascii="Courier New" w:hAnsi="Courier New" w:cs="Courier New"/>
    </w:rPr>
  </w:style>
  <w:style w:type="character" w:styleId="WW8Num18z2">
    <w:name w:val="WW8Num18z2"/>
    <w:qFormat/>
    <w:rPr>
      <w:rFonts w:ascii="Wingdings" w:hAnsi="Wingdings" w:cs="Wingdings"/>
    </w:rPr>
  </w:style>
  <w:style w:type="character" w:styleId="WW8Num19z0">
    <w:name w:val="WW8Num19z0"/>
    <w:qFormat/>
    <w:rPr>
      <w:rFonts w:ascii="Symbol" w:hAnsi="Symbol" w:eastAsia="Calibri" w:cs="Symbol"/>
      <w:sz w:val="28"/>
      <w:szCs w:val="28"/>
      <w:lang w:val="ru-RU"/>
    </w:rPr>
  </w:style>
  <w:style w:type="character" w:styleId="WW8Num19z1">
    <w:name w:val="WW8Num19z1"/>
    <w:qFormat/>
    <w:rPr>
      <w:rFonts w:ascii="Courier New" w:hAnsi="Courier New" w:cs="Courier New"/>
    </w:rPr>
  </w:style>
  <w:style w:type="character" w:styleId="WW8Num19z2">
    <w:name w:val="WW8Num19z2"/>
    <w:qFormat/>
    <w:rPr>
      <w:rFonts w:ascii="Wingdings" w:hAnsi="Wingdings" w:cs="Wingdings"/>
    </w:rPr>
  </w:style>
  <w:style w:type="character" w:styleId="WW8Num20z0">
    <w:name w:val="WW8Num20z0"/>
    <w:qFormat/>
    <w:rPr>
      <w:rFonts w:cs="Times New Roman"/>
    </w:rPr>
  </w:style>
  <w:style w:type="character" w:styleId="WW8Num20z1">
    <w:name w:val="WW8Num20z1"/>
    <w:qFormat/>
    <w:rPr/>
  </w:style>
  <w:style w:type="character" w:styleId="WW8Num21z0">
    <w:name w:val="WW8Num21z0"/>
    <w:qFormat/>
    <w:rPr>
      <w:rFonts w:ascii="Symbol" w:hAnsi="Symbol" w:cs="Symbol"/>
    </w:rPr>
  </w:style>
  <w:style w:type="character" w:styleId="WW8Num21z1">
    <w:name w:val="WW8Num21z1"/>
    <w:qFormat/>
    <w:rPr>
      <w:rFonts w:ascii="Courier New" w:hAnsi="Courier New" w:cs="Courier New"/>
    </w:rPr>
  </w:style>
  <w:style w:type="character" w:styleId="WW8Num21z2">
    <w:name w:val="WW8Num21z2"/>
    <w:qFormat/>
    <w:rPr>
      <w:rFonts w:ascii="Wingdings" w:hAnsi="Wingdings" w:cs="Wingdings"/>
    </w:rPr>
  </w:style>
  <w:style w:type="character" w:styleId="WW8Num22z0">
    <w:name w:val="WW8Num22z0"/>
    <w:qFormat/>
    <w:rPr>
      <w:rFonts w:ascii="Symbol" w:hAnsi="Symbol" w:cs="Symbol"/>
    </w:rPr>
  </w:style>
  <w:style w:type="character" w:styleId="WW8Num22z1">
    <w:name w:val="WW8Num22z1"/>
    <w:qFormat/>
    <w:rPr>
      <w:rFonts w:ascii="Courier New" w:hAnsi="Courier New" w:cs="Courier New"/>
    </w:rPr>
  </w:style>
  <w:style w:type="character" w:styleId="WW8Num22z2">
    <w:name w:val="WW8Num22z2"/>
    <w:qFormat/>
    <w:rPr>
      <w:rFonts w:ascii="Wingdings" w:hAnsi="Wingdings" w:cs="Wingdings"/>
    </w:rPr>
  </w:style>
  <w:style w:type="character" w:styleId="WW8Num23z0">
    <w:name w:val="WW8Num23z0"/>
    <w:qFormat/>
    <w:rPr>
      <w:rFonts w:ascii="Symbol" w:hAnsi="Symbol" w:cs="Symbol"/>
    </w:rPr>
  </w:style>
  <w:style w:type="character" w:styleId="WW8Num23z1">
    <w:name w:val="WW8Num23z1"/>
    <w:qFormat/>
    <w:rPr>
      <w:rFonts w:ascii="Courier New" w:hAnsi="Courier New" w:cs="Courier New"/>
    </w:rPr>
  </w:style>
  <w:style w:type="character" w:styleId="WW8Num23z2">
    <w:name w:val="WW8Num23z2"/>
    <w:qFormat/>
    <w:rPr>
      <w:rFonts w:ascii="Wingdings" w:hAnsi="Wingdings" w:cs="Wingdings"/>
    </w:rPr>
  </w:style>
  <w:style w:type="character" w:styleId="WW8Num24z0">
    <w:name w:val="WW8Num24z0"/>
    <w:qFormat/>
    <w:rPr/>
  </w:style>
  <w:style w:type="character" w:styleId="WW8Num24z1">
    <w:name w:val="WW8Num24z1"/>
    <w:qFormat/>
    <w:rPr/>
  </w:style>
  <w:style w:type="character" w:styleId="WW8Num24z2">
    <w:name w:val="WW8Num24z2"/>
    <w:qFormat/>
    <w:rPr/>
  </w:style>
  <w:style w:type="character" w:styleId="WW8Num24z3">
    <w:name w:val="WW8Num24z3"/>
    <w:qFormat/>
    <w:rPr/>
  </w:style>
  <w:style w:type="character" w:styleId="WW8Num24z4">
    <w:name w:val="WW8Num24z4"/>
    <w:qFormat/>
    <w:rPr/>
  </w:style>
  <w:style w:type="character" w:styleId="WW8Num24z5">
    <w:name w:val="WW8Num24z5"/>
    <w:qFormat/>
    <w:rPr/>
  </w:style>
  <w:style w:type="character" w:styleId="WW8Num24z6">
    <w:name w:val="WW8Num24z6"/>
    <w:qFormat/>
    <w:rPr/>
  </w:style>
  <w:style w:type="character" w:styleId="WW8Num24z7">
    <w:name w:val="WW8Num24z7"/>
    <w:qFormat/>
    <w:rPr/>
  </w:style>
  <w:style w:type="character" w:styleId="WW8Num24z8">
    <w:name w:val="WW8Num24z8"/>
    <w:qFormat/>
    <w:rPr/>
  </w:style>
  <w:style w:type="character" w:styleId="WW8Num25z0">
    <w:name w:val="WW8Num25z0"/>
    <w:qFormat/>
    <w:rPr>
      <w:lang w:val="ru-RU"/>
    </w:rPr>
  </w:style>
  <w:style w:type="character" w:styleId="WW8Num26z0">
    <w:name w:val="WW8Num26z0"/>
    <w:qFormat/>
    <w:rPr>
      <w:rFonts w:ascii="Symbol" w:hAnsi="Symbol" w:cs="Symbol"/>
    </w:rPr>
  </w:style>
  <w:style w:type="character" w:styleId="WW8Num26z1">
    <w:name w:val="WW8Num26z1"/>
    <w:qFormat/>
    <w:rPr>
      <w:rFonts w:ascii="Courier New" w:hAnsi="Courier New" w:cs="Courier New"/>
    </w:rPr>
  </w:style>
  <w:style w:type="character" w:styleId="WW8Num26z2">
    <w:name w:val="WW8Num26z2"/>
    <w:qFormat/>
    <w:rPr>
      <w:rFonts w:ascii="Wingdings" w:hAnsi="Wingdings" w:cs="Wingdings"/>
    </w:rPr>
  </w:style>
  <w:style w:type="character" w:styleId="WW8Num27z0">
    <w:name w:val="WW8Num27z0"/>
    <w:qFormat/>
    <w:rPr>
      <w:rFonts w:ascii="Symbol" w:hAnsi="Symbol" w:cs="Symbol"/>
    </w:rPr>
  </w:style>
  <w:style w:type="character" w:styleId="WW8Num27z1">
    <w:name w:val="WW8Num27z1"/>
    <w:qFormat/>
    <w:rPr>
      <w:rFonts w:ascii="Courier New" w:hAnsi="Courier New" w:cs="Courier New"/>
    </w:rPr>
  </w:style>
  <w:style w:type="character" w:styleId="WW8Num27z2">
    <w:name w:val="WW8Num27z2"/>
    <w:qFormat/>
    <w:rPr>
      <w:rFonts w:ascii="Wingdings" w:hAnsi="Wingdings" w:cs="Wingdings"/>
    </w:rPr>
  </w:style>
  <w:style w:type="character" w:styleId="WW8Num28z0">
    <w:name w:val="WW8Num28z0"/>
    <w:qFormat/>
    <w:rPr>
      <w:rFonts w:ascii="Arial Narrow" w:hAnsi="Arial Narrow" w:eastAsia="Arial Narrow" w:cs="Arial Narrow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position w:val="0"/>
      <w:sz w:val="24"/>
      <w:sz w:val="24"/>
      <w:szCs w:val="24"/>
      <w:u w:val="none"/>
      <w:vertAlign w:val="baseline"/>
      <w:lang w:val="ru-RU" w:bidi="ru-RU"/>
    </w:rPr>
  </w:style>
  <w:style w:type="character" w:styleId="WW8Num28z1">
    <w:name w:val="WW8Num28z1"/>
    <w:qFormat/>
    <w:rPr/>
  </w:style>
  <w:style w:type="character" w:styleId="WW8Num28z2">
    <w:name w:val="WW8Num28z2"/>
    <w:qFormat/>
    <w:rPr/>
  </w:style>
  <w:style w:type="character" w:styleId="WW8Num28z3">
    <w:name w:val="WW8Num28z3"/>
    <w:qFormat/>
    <w:rPr/>
  </w:style>
  <w:style w:type="character" w:styleId="WW8Num28z4">
    <w:name w:val="WW8Num28z4"/>
    <w:qFormat/>
    <w:rPr/>
  </w:style>
  <w:style w:type="character" w:styleId="WW8Num28z5">
    <w:name w:val="WW8Num28z5"/>
    <w:qFormat/>
    <w:rPr/>
  </w:style>
  <w:style w:type="character" w:styleId="WW8Num28z6">
    <w:name w:val="WW8Num28z6"/>
    <w:qFormat/>
    <w:rPr/>
  </w:style>
  <w:style w:type="character" w:styleId="WW8Num28z7">
    <w:name w:val="WW8Num28z7"/>
    <w:qFormat/>
    <w:rPr/>
  </w:style>
  <w:style w:type="character" w:styleId="WW8Num28z8">
    <w:name w:val="WW8Num28z8"/>
    <w:qFormat/>
    <w:rPr/>
  </w:style>
  <w:style w:type="character" w:styleId="WW8Num29z0">
    <w:name w:val="WW8Num29z0"/>
    <w:qFormat/>
    <w:rPr>
      <w:rFonts w:ascii="Symbol" w:hAnsi="Symbol" w:eastAsia="Calibri" w:cs="Symbol"/>
      <w:sz w:val="28"/>
      <w:szCs w:val="28"/>
      <w:lang w:val="ru-RU"/>
    </w:rPr>
  </w:style>
  <w:style w:type="character" w:styleId="WW8Num29z1">
    <w:name w:val="WW8Num29z1"/>
    <w:qFormat/>
    <w:rPr>
      <w:rFonts w:ascii="Courier New" w:hAnsi="Courier New" w:cs="Courier New"/>
    </w:rPr>
  </w:style>
  <w:style w:type="character" w:styleId="WW8Num29z2">
    <w:name w:val="WW8Num29z2"/>
    <w:qFormat/>
    <w:rPr>
      <w:rFonts w:ascii="Wingdings" w:hAnsi="Wingdings" w:cs="Wingdings"/>
    </w:rPr>
  </w:style>
  <w:style w:type="character" w:styleId="WW8Num30z0">
    <w:name w:val="WW8Num30z0"/>
    <w:qFormat/>
    <w:rPr>
      <w:rFonts w:ascii="Arial Narrow" w:hAnsi="Arial Narrow" w:eastAsia="Arial Narrow" w:cs="Arial Narrow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position w:val="0"/>
      <w:sz w:val="24"/>
      <w:sz w:val="24"/>
      <w:szCs w:val="24"/>
      <w:u w:val="none"/>
      <w:vertAlign w:val="baseline"/>
      <w:lang w:val="ru-RU" w:bidi="ru-RU"/>
    </w:rPr>
  </w:style>
  <w:style w:type="character" w:styleId="WW8Num30z1">
    <w:name w:val="WW8Num30z1"/>
    <w:qFormat/>
    <w:rPr/>
  </w:style>
  <w:style w:type="character" w:styleId="WW8Num30z2">
    <w:name w:val="WW8Num30z2"/>
    <w:qFormat/>
    <w:rPr/>
  </w:style>
  <w:style w:type="character" w:styleId="WW8Num30z3">
    <w:name w:val="WW8Num30z3"/>
    <w:qFormat/>
    <w:rPr/>
  </w:style>
  <w:style w:type="character" w:styleId="WW8Num30z4">
    <w:name w:val="WW8Num30z4"/>
    <w:qFormat/>
    <w:rPr/>
  </w:style>
  <w:style w:type="character" w:styleId="WW8Num30z5">
    <w:name w:val="WW8Num30z5"/>
    <w:qFormat/>
    <w:rPr/>
  </w:style>
  <w:style w:type="character" w:styleId="WW8Num30z6">
    <w:name w:val="WW8Num30z6"/>
    <w:qFormat/>
    <w:rPr/>
  </w:style>
  <w:style w:type="character" w:styleId="WW8Num30z7">
    <w:name w:val="WW8Num30z7"/>
    <w:qFormat/>
    <w:rPr/>
  </w:style>
  <w:style w:type="character" w:styleId="WW8Num30z8">
    <w:name w:val="WW8Num30z8"/>
    <w:qFormat/>
    <w:rPr/>
  </w:style>
  <w:style w:type="character" w:styleId="WW8Num31z0">
    <w:name w:val="WW8Num31z0"/>
    <w:qFormat/>
    <w:rPr>
      <w:rFonts w:ascii="Symbol" w:hAnsi="Symbol" w:eastAsia="Calibri" w:cs="Symbol"/>
      <w:sz w:val="28"/>
      <w:szCs w:val="28"/>
      <w:lang w:val="ru-RU"/>
    </w:rPr>
  </w:style>
  <w:style w:type="character" w:styleId="WW8Num31z1">
    <w:name w:val="WW8Num31z1"/>
    <w:qFormat/>
    <w:rPr>
      <w:rFonts w:ascii="Courier New" w:hAnsi="Courier New" w:cs="Courier New"/>
    </w:rPr>
  </w:style>
  <w:style w:type="character" w:styleId="WW8Num31z2">
    <w:name w:val="WW8Num31z2"/>
    <w:qFormat/>
    <w:rPr>
      <w:rFonts w:ascii="Wingdings" w:hAnsi="Wingdings" w:cs="Wingdings"/>
    </w:rPr>
  </w:style>
  <w:style w:type="character" w:styleId="WW8Num32z0">
    <w:name w:val="WW8Num32z0"/>
    <w:qFormat/>
    <w:rPr/>
  </w:style>
  <w:style w:type="character" w:styleId="WW8Num32z1">
    <w:name w:val="WW8Num32z1"/>
    <w:qFormat/>
    <w:rPr/>
  </w:style>
  <w:style w:type="character" w:styleId="WW8Num32z2">
    <w:name w:val="WW8Num32z2"/>
    <w:qFormat/>
    <w:rPr/>
  </w:style>
  <w:style w:type="character" w:styleId="WW8Num32z3">
    <w:name w:val="WW8Num32z3"/>
    <w:qFormat/>
    <w:rPr/>
  </w:style>
  <w:style w:type="character" w:styleId="WW8Num32z4">
    <w:name w:val="WW8Num32z4"/>
    <w:qFormat/>
    <w:rPr/>
  </w:style>
  <w:style w:type="character" w:styleId="WW8Num32z5">
    <w:name w:val="WW8Num32z5"/>
    <w:qFormat/>
    <w:rPr/>
  </w:style>
  <w:style w:type="character" w:styleId="WW8Num32z6">
    <w:name w:val="WW8Num32z6"/>
    <w:qFormat/>
    <w:rPr/>
  </w:style>
  <w:style w:type="character" w:styleId="WW8Num32z7">
    <w:name w:val="WW8Num32z7"/>
    <w:qFormat/>
    <w:rPr/>
  </w:style>
  <w:style w:type="character" w:styleId="WW8Num32z8">
    <w:name w:val="WW8Num32z8"/>
    <w:qFormat/>
    <w:rPr/>
  </w:style>
  <w:style w:type="character" w:styleId="WW8Num33z0">
    <w:name w:val="WW8Num33z0"/>
    <w:qFormat/>
    <w:rPr>
      <w:rFonts w:ascii="Symbol" w:hAnsi="Symbol" w:eastAsia="Calibri" w:cs="Symbol"/>
      <w:sz w:val="28"/>
      <w:szCs w:val="28"/>
      <w:lang w:val="ru-RU"/>
    </w:rPr>
  </w:style>
  <w:style w:type="character" w:styleId="WW8Num33z1">
    <w:name w:val="WW8Num33z1"/>
    <w:qFormat/>
    <w:rPr>
      <w:rFonts w:ascii="Courier New" w:hAnsi="Courier New" w:cs="Courier New"/>
    </w:rPr>
  </w:style>
  <w:style w:type="character" w:styleId="WW8Num33z2">
    <w:name w:val="WW8Num33z2"/>
    <w:qFormat/>
    <w:rPr>
      <w:rFonts w:ascii="Wingdings" w:hAnsi="Wingdings" w:cs="Wingdings"/>
    </w:rPr>
  </w:style>
  <w:style w:type="character" w:styleId="WW8Num34z0">
    <w:name w:val="WW8Num34z0"/>
    <w:qFormat/>
    <w:rPr>
      <w:rFonts w:ascii="Symbol" w:hAnsi="Symbol" w:cs="Symbol"/>
    </w:rPr>
  </w:style>
  <w:style w:type="character" w:styleId="WW8Num34z1">
    <w:name w:val="WW8Num34z1"/>
    <w:qFormat/>
    <w:rPr>
      <w:rFonts w:ascii="Courier New" w:hAnsi="Courier New" w:cs="Courier New"/>
    </w:rPr>
  </w:style>
  <w:style w:type="character" w:styleId="WW8Num34z2">
    <w:name w:val="WW8Num34z2"/>
    <w:qFormat/>
    <w:rPr>
      <w:rFonts w:ascii="Wingdings" w:hAnsi="Wingdings" w:cs="Wingdings"/>
    </w:rPr>
  </w:style>
  <w:style w:type="character" w:styleId="WW8Num35z0">
    <w:name w:val="WW8Num35z0"/>
    <w:qFormat/>
    <w:rPr>
      <w:rFonts w:eastAsia="Calibri"/>
      <w:sz w:val="28"/>
      <w:szCs w:val="28"/>
      <w:lang w:val="ru-RU"/>
    </w:rPr>
  </w:style>
  <w:style w:type="character" w:styleId="WW8Num35z1">
    <w:name w:val="WW8Num35z1"/>
    <w:qFormat/>
    <w:rPr/>
  </w:style>
  <w:style w:type="character" w:styleId="WW8Num35z2">
    <w:name w:val="WW8Num35z2"/>
    <w:qFormat/>
    <w:rPr/>
  </w:style>
  <w:style w:type="character" w:styleId="WW8Num35z3">
    <w:name w:val="WW8Num35z3"/>
    <w:qFormat/>
    <w:rPr/>
  </w:style>
  <w:style w:type="character" w:styleId="WW8Num35z4">
    <w:name w:val="WW8Num35z4"/>
    <w:qFormat/>
    <w:rPr/>
  </w:style>
  <w:style w:type="character" w:styleId="WW8Num35z5">
    <w:name w:val="WW8Num35z5"/>
    <w:qFormat/>
    <w:rPr/>
  </w:style>
  <w:style w:type="character" w:styleId="WW8Num35z6">
    <w:name w:val="WW8Num35z6"/>
    <w:qFormat/>
    <w:rPr/>
  </w:style>
  <w:style w:type="character" w:styleId="WW8Num35z7">
    <w:name w:val="WW8Num35z7"/>
    <w:qFormat/>
    <w:rPr/>
  </w:style>
  <w:style w:type="character" w:styleId="WW8Num35z8">
    <w:name w:val="WW8Num35z8"/>
    <w:qFormat/>
    <w:rPr/>
  </w:style>
  <w:style w:type="character" w:styleId="WW8Num36z0">
    <w:name w:val="WW8Num36z0"/>
    <w:qFormat/>
    <w:rPr>
      <w:rFonts w:ascii="Symbol" w:hAnsi="Symbol" w:cs="Symbol"/>
    </w:rPr>
  </w:style>
  <w:style w:type="character" w:styleId="WW8Num36z1">
    <w:name w:val="WW8Num36z1"/>
    <w:qFormat/>
    <w:rPr>
      <w:rFonts w:ascii="Courier New" w:hAnsi="Courier New" w:cs="Courier New"/>
    </w:rPr>
  </w:style>
  <w:style w:type="character" w:styleId="WW8Num36z2">
    <w:name w:val="WW8Num36z2"/>
    <w:qFormat/>
    <w:rPr>
      <w:rFonts w:ascii="Wingdings" w:hAnsi="Wingdings" w:cs="Wingdings"/>
    </w:rPr>
  </w:style>
  <w:style w:type="character" w:styleId="WW8Num37z0">
    <w:name w:val="WW8Num37z0"/>
    <w:qFormat/>
    <w:rPr>
      <w:rFonts w:ascii="Symbol" w:hAnsi="Symbol" w:cs="Symbol"/>
    </w:rPr>
  </w:style>
  <w:style w:type="character" w:styleId="WW8Num37z1">
    <w:name w:val="WW8Num37z1"/>
    <w:qFormat/>
    <w:rPr>
      <w:rFonts w:ascii="Courier New" w:hAnsi="Courier New" w:cs="Courier New"/>
    </w:rPr>
  </w:style>
  <w:style w:type="character" w:styleId="WW8Num37z2">
    <w:name w:val="WW8Num37z2"/>
    <w:qFormat/>
    <w:rPr>
      <w:rFonts w:ascii="Wingdings" w:hAnsi="Wingdings" w:cs="Wingdings"/>
    </w:rPr>
  </w:style>
  <w:style w:type="character" w:styleId="WW8Num38z0">
    <w:name w:val="WW8Num38z0"/>
    <w:qFormat/>
    <w:rPr>
      <w:rFonts w:ascii="Symbol" w:hAnsi="Symbol" w:cs="Symbol"/>
    </w:rPr>
  </w:style>
  <w:style w:type="character" w:styleId="WW8Num38z1">
    <w:name w:val="WW8Num38z1"/>
    <w:qFormat/>
    <w:rPr>
      <w:rFonts w:ascii="Courier New" w:hAnsi="Courier New" w:cs="Courier New"/>
    </w:rPr>
  </w:style>
  <w:style w:type="character" w:styleId="WW8Num38z2">
    <w:name w:val="WW8Num38z2"/>
    <w:qFormat/>
    <w:rPr>
      <w:rFonts w:ascii="Wingdings" w:hAnsi="Wingdings" w:cs="Wingdings"/>
    </w:rPr>
  </w:style>
  <w:style w:type="character" w:styleId="WW8Num39z0">
    <w:name w:val="WW8Num39z0"/>
    <w:qFormat/>
    <w:rPr/>
  </w:style>
  <w:style w:type="character" w:styleId="WW8Num40z0">
    <w:name w:val="WW8Num40z0"/>
    <w:qFormat/>
    <w:rPr>
      <w:rFonts w:ascii="Symbol" w:hAnsi="Symbol" w:eastAsia="Calibri" w:cs="Symbol"/>
      <w:sz w:val="28"/>
      <w:szCs w:val="28"/>
      <w:lang w:val="ru-RU"/>
    </w:rPr>
  </w:style>
  <w:style w:type="character" w:styleId="WW8Num40z1">
    <w:name w:val="WW8Num40z1"/>
    <w:qFormat/>
    <w:rPr>
      <w:rFonts w:ascii="Courier New" w:hAnsi="Courier New" w:cs="Courier New"/>
    </w:rPr>
  </w:style>
  <w:style w:type="character" w:styleId="WW8Num40z2">
    <w:name w:val="WW8Num40z2"/>
    <w:qFormat/>
    <w:rPr>
      <w:rFonts w:ascii="Wingdings" w:hAnsi="Wingdings" w:cs="Wingdings"/>
    </w:rPr>
  </w:style>
  <w:style w:type="character" w:styleId="Style5">
    <w:name w:val="Основной шрифт абзаца"/>
    <w:qFormat/>
    <w:rPr/>
  </w:style>
  <w:style w:type="character" w:styleId="11">
    <w:name w:val="Заголовок 1 Знак"/>
    <w:qFormat/>
    <w:rPr>
      <w:rFonts w:ascii="Cambria" w:hAnsi="Cambria" w:eastAsia="Times New Roman" w:cs="Times New Roman"/>
      <w:b/>
      <w:bCs/>
      <w:sz w:val="32"/>
      <w:szCs w:val="32"/>
      <w:lang w:val="en-US"/>
    </w:rPr>
  </w:style>
  <w:style w:type="character" w:styleId="21">
    <w:name w:val="Заголовок 2 Знак"/>
    <w:qFormat/>
    <w:rPr>
      <w:rFonts w:ascii="Cambria" w:hAnsi="Cambria" w:eastAsia="Times New Roman" w:cs="Times New Roman"/>
      <w:b/>
      <w:bCs/>
      <w:i/>
      <w:iCs/>
      <w:sz w:val="28"/>
      <w:szCs w:val="28"/>
      <w:lang w:val="en-US"/>
    </w:rPr>
  </w:style>
  <w:style w:type="character" w:styleId="31">
    <w:name w:val="Заголовок 3 Знак"/>
    <w:qFormat/>
    <w:rPr>
      <w:rFonts w:ascii="Cambria" w:hAnsi="Cambria" w:eastAsia="Times New Roman" w:cs="Times New Roman"/>
      <w:b/>
      <w:bCs/>
      <w:sz w:val="26"/>
      <w:szCs w:val="26"/>
      <w:lang w:val="en-US"/>
    </w:rPr>
  </w:style>
  <w:style w:type="character" w:styleId="41">
    <w:name w:val="Заголовок 4 Знак"/>
    <w:qFormat/>
    <w:rPr>
      <w:rFonts w:eastAsia="Times New Roman"/>
      <w:b/>
      <w:bCs/>
      <w:sz w:val="28"/>
      <w:szCs w:val="28"/>
      <w:lang w:val="en-US"/>
    </w:rPr>
  </w:style>
  <w:style w:type="character" w:styleId="51">
    <w:name w:val="Заголовок 5 Знак"/>
    <w:qFormat/>
    <w:rPr>
      <w:rFonts w:eastAsia="Times New Roman"/>
      <w:b/>
      <w:bCs/>
      <w:i/>
      <w:iCs/>
      <w:sz w:val="26"/>
      <w:szCs w:val="26"/>
      <w:lang w:val="en-US"/>
    </w:rPr>
  </w:style>
  <w:style w:type="character" w:styleId="61">
    <w:name w:val="Заголовок 6 Знак"/>
    <w:qFormat/>
    <w:rPr>
      <w:rFonts w:ascii="Times New Roman" w:hAnsi="Times New Roman" w:eastAsia="Times New Roman" w:cs="Times New Roman"/>
      <w:b/>
      <w:bCs/>
      <w:lang w:val="en-US"/>
    </w:rPr>
  </w:style>
  <w:style w:type="character" w:styleId="71">
    <w:name w:val="Заголовок 7 Знак"/>
    <w:qFormat/>
    <w:rPr>
      <w:rFonts w:eastAsia="Times New Roman"/>
      <w:sz w:val="24"/>
      <w:szCs w:val="24"/>
      <w:lang w:val="en-US"/>
    </w:rPr>
  </w:style>
  <w:style w:type="character" w:styleId="81">
    <w:name w:val="Заголовок 8 Знак"/>
    <w:qFormat/>
    <w:rPr>
      <w:rFonts w:eastAsia="Times New Roman"/>
      <w:i/>
      <w:iCs/>
      <w:sz w:val="24"/>
      <w:szCs w:val="24"/>
      <w:lang w:val="en-US"/>
    </w:rPr>
  </w:style>
  <w:style w:type="character" w:styleId="91">
    <w:name w:val="Заголовок 9 Знак"/>
    <w:qFormat/>
    <w:rPr>
      <w:rFonts w:ascii="Cambria" w:hAnsi="Cambria" w:eastAsia="Times New Roman" w:cs="Times New Roman"/>
      <w:lang w:val="en-US"/>
    </w:rPr>
  </w:style>
  <w:style w:type="character" w:styleId="Style6">
    <w:name w:val="Верхний колонтитул Знак"/>
    <w:qFormat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Style7">
    <w:name w:val="Нижний колонтитул Знак"/>
    <w:qFormat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Style8">
    <w:name w:val="Название Знак"/>
    <w:qFormat/>
    <w:rPr>
      <w:rFonts w:ascii="Cambria" w:hAnsi="Cambria" w:eastAsia="Times New Roman" w:cs="Times New Roman"/>
      <w:b/>
      <w:bCs/>
      <w:sz w:val="32"/>
      <w:szCs w:val="32"/>
      <w:lang w:val="en-US"/>
    </w:rPr>
  </w:style>
  <w:style w:type="character" w:styleId="22">
    <w:name w:val="Основной текст (2)_"/>
    <w:qFormat/>
    <w:rPr>
      <w:rFonts w:ascii="Arial Narrow" w:hAnsi="Arial Narrow" w:eastAsia="Arial Narrow" w:cs="Arial Narrow"/>
      <w:shd w:fill="FFFFFF" w:val="clear"/>
    </w:rPr>
  </w:style>
  <w:style w:type="character" w:styleId="12">
    <w:name w:val="Заголовок №1_"/>
    <w:qFormat/>
    <w:rPr>
      <w:rFonts w:ascii="Arial Narrow" w:hAnsi="Arial Narrow" w:eastAsia="Arial Narrow" w:cs="Arial Narrow"/>
      <w:shd w:fill="FFFFFF" w:val="clear"/>
    </w:rPr>
  </w:style>
  <w:style w:type="character" w:styleId="32">
    <w:name w:val="Основной текст (3)_"/>
    <w:qFormat/>
    <w:rPr>
      <w:rFonts w:ascii="Arial Narrow" w:hAnsi="Arial Narrow" w:eastAsia="Arial Narrow" w:cs="Arial Narrow"/>
      <w:i/>
      <w:iCs/>
      <w:spacing w:val="-20"/>
      <w:shd w:fill="FFFFFF" w:val="clear"/>
    </w:rPr>
  </w:style>
  <w:style w:type="character" w:styleId="30pt">
    <w:name w:val="Основной текст (3) + Не курсив;Интервал 0 pt"/>
    <w:qFormat/>
    <w:rPr>
      <w:rFonts w:ascii="Arial Narrow" w:hAnsi="Arial Narrow" w:eastAsia="Arial Narrow" w:cs="Arial Narrow"/>
      <w:b w:val="false"/>
      <w:bCs w:val="false"/>
      <w:i/>
      <w:iCs/>
      <w:caps w:val="false"/>
      <w:smallCaps w:val="false"/>
      <w:strike w:val="false"/>
      <w:dstrike w:val="false"/>
      <w:color w:val="000000"/>
      <w:spacing w:val="0"/>
      <w:w w:val="100"/>
      <w:position w:val="0"/>
      <w:sz w:val="24"/>
      <w:sz w:val="24"/>
      <w:szCs w:val="24"/>
      <w:u w:val="none"/>
      <w:vertAlign w:val="baseline"/>
      <w:lang w:val="ru-RU" w:bidi="ru-RU"/>
    </w:rPr>
  </w:style>
  <w:style w:type="character" w:styleId="21pt">
    <w:name w:val="Основной текст (2) + Курсив;Интервал -1 pt"/>
    <w:qFormat/>
    <w:rPr>
      <w:rFonts w:ascii="Arial Narrow" w:hAnsi="Arial Narrow" w:eastAsia="Arial Narrow" w:cs="Arial Narrow"/>
      <w:b w:val="false"/>
      <w:bCs w:val="false"/>
      <w:i/>
      <w:iCs/>
      <w:caps w:val="false"/>
      <w:smallCaps w:val="false"/>
      <w:strike w:val="false"/>
      <w:dstrike w:val="false"/>
      <w:color w:val="000000"/>
      <w:spacing w:val="-20"/>
      <w:w w:val="100"/>
      <w:position w:val="0"/>
      <w:sz w:val="24"/>
      <w:sz w:val="24"/>
      <w:szCs w:val="24"/>
      <w:u w:val="none"/>
      <w:shd w:fill="FFFFFF" w:val="clear"/>
      <w:vertAlign w:val="baseline"/>
      <w:lang w:val="ru-RU" w:bidi="ru-RU"/>
    </w:rPr>
  </w:style>
  <w:style w:type="character" w:styleId="23">
    <w:name w:val="Основной текст (2) + Малые прописные"/>
    <w:qFormat/>
    <w:rPr>
      <w:rFonts w:ascii="Arial Narrow" w:hAnsi="Arial Narrow" w:eastAsia="Arial Narrow" w:cs="Arial Narrow"/>
      <w:b w:val="false"/>
      <w:bCs w:val="false"/>
      <w:i w:val="false"/>
      <w:iCs w:val="false"/>
      <w:smallCaps/>
      <w:strike w:val="false"/>
      <w:dstrike w:val="false"/>
      <w:color w:val="000000"/>
      <w:spacing w:val="0"/>
      <w:w w:val="100"/>
      <w:position w:val="0"/>
      <w:sz w:val="24"/>
      <w:sz w:val="24"/>
      <w:szCs w:val="24"/>
      <w:u w:val="none"/>
      <w:shd w:fill="FFFFFF" w:val="clear"/>
      <w:vertAlign w:val="baseline"/>
      <w:lang w:val="ru-RU" w:bidi="ru-RU"/>
    </w:rPr>
  </w:style>
  <w:style w:type="character" w:styleId="Style9">
    <w:name w:val="Обычный (веб) Знак"/>
    <w:qFormat/>
    <w:rPr>
      <w:rFonts w:ascii="Times New Roman" w:hAnsi="Times New Roman" w:eastAsia="Times New Roman" w:cs="Times New Roman"/>
      <w:color w:val="000000"/>
      <w:sz w:val="24"/>
      <w:szCs w:val="24"/>
    </w:rPr>
  </w:style>
  <w:style w:type="character" w:styleId="Style10">
    <w:name w:val="Основной текст Знак"/>
    <w:qFormat/>
    <w:rPr>
      <w:rFonts w:ascii="Times New Roman" w:hAnsi="Times New Roman" w:eastAsia="Times New Roman" w:cs="Times New Roman"/>
      <w:sz w:val="24"/>
      <w:szCs w:val="24"/>
    </w:rPr>
  </w:style>
  <w:style w:type="paragraph" w:styleId="Style11">
    <w:name w:val="Заголовок"/>
    <w:basedOn w:val="Normal"/>
    <w:next w:val="Normal"/>
    <w:qFormat/>
    <w:pPr>
      <w:spacing w:before="240" w:after="60"/>
      <w:jc w:val="center"/>
      <w:outlineLvl w:val="0"/>
    </w:pPr>
    <w:rPr>
      <w:rFonts w:ascii="Cambria" w:hAnsi="Cambria" w:eastAsia="Times New Roman" w:cs="Times New Roman"/>
      <w:b/>
      <w:bCs/>
      <w:sz w:val="32"/>
      <w:szCs w:val="32"/>
    </w:rPr>
  </w:style>
  <w:style w:type="paragraph" w:styleId="Style12">
    <w:name w:val="Body Text"/>
    <w:basedOn w:val="Normal"/>
    <w:pPr>
      <w:widowControl w:val="false"/>
      <w:autoSpaceDE w:val="false"/>
      <w:ind w:left="277" w:hanging="0"/>
    </w:pPr>
    <w:rPr>
      <w:rFonts w:eastAsia="Times New Roman"/>
      <w:sz w:val="24"/>
      <w:szCs w:val="24"/>
      <w:lang w:val="ru-RU"/>
    </w:rPr>
  </w:style>
  <w:style w:type="paragraph" w:styleId="Style13">
    <w:name w:val="List"/>
    <w:basedOn w:val="Style12"/>
    <w:pPr/>
    <w:rPr>
      <w:rFonts w:cs="Arial"/>
    </w:rPr>
  </w:style>
  <w:style w:type="paragraph" w:styleId="Style14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cs="Arial"/>
    </w:rPr>
  </w:style>
  <w:style w:type="paragraph" w:styleId="Style16">
    <w:name w:val="Header"/>
    <w:basedOn w:val="Normal"/>
    <w:pPr/>
    <w:rPr/>
  </w:style>
  <w:style w:type="paragraph" w:styleId="Style17">
    <w:name w:val="Footer"/>
    <w:basedOn w:val="Normal"/>
    <w:pPr/>
    <w:rPr/>
  </w:style>
  <w:style w:type="paragraph" w:styleId="Style18">
    <w:name w:val="Без интервала"/>
    <w:qFormat/>
    <w:pPr>
      <w:widowControl/>
    </w:pPr>
    <w:rPr>
      <w:rFonts w:ascii="Times New Roman" w:hAnsi="Times New Roman" w:eastAsia="Times New Roman" w:cs="Times New Roman"/>
      <w:color w:val="auto"/>
      <w:sz w:val="20"/>
      <w:szCs w:val="20"/>
      <w:lang w:val="en-US" w:bidi="ar-SA" w:eastAsia="zh-CN"/>
    </w:rPr>
  </w:style>
  <w:style w:type="paragraph" w:styleId="24">
    <w:name w:val="Основной текст (2)"/>
    <w:basedOn w:val="Normal"/>
    <w:qFormat/>
    <w:pPr>
      <w:widowControl w:val="false"/>
      <w:shd w:fill="FFFFFF" w:val="clear"/>
      <w:spacing w:lineRule="exact" w:line="466" w:before="420" w:after="0"/>
      <w:ind w:hanging="860"/>
      <w:jc w:val="both"/>
    </w:pPr>
    <w:rPr>
      <w:rFonts w:ascii="Arial Narrow" w:hAnsi="Arial Narrow" w:eastAsia="Arial Narrow" w:cs="Arial Narrow"/>
      <w:lang w:val="ru-RU"/>
    </w:rPr>
  </w:style>
  <w:style w:type="paragraph" w:styleId="13">
    <w:name w:val="Заголовок №1"/>
    <w:basedOn w:val="Normal"/>
    <w:qFormat/>
    <w:pPr>
      <w:widowControl w:val="false"/>
      <w:shd w:fill="FFFFFF" w:val="clear"/>
      <w:spacing w:lineRule="exact" w:line="470"/>
      <w:ind w:hanging="980"/>
      <w:outlineLvl w:val="0"/>
    </w:pPr>
    <w:rPr>
      <w:rFonts w:ascii="Arial Narrow" w:hAnsi="Arial Narrow" w:eastAsia="Arial Narrow" w:cs="Arial Narrow"/>
      <w:lang w:val="ru-RU"/>
    </w:rPr>
  </w:style>
  <w:style w:type="paragraph" w:styleId="33">
    <w:name w:val="Основной текст (3)"/>
    <w:basedOn w:val="Normal"/>
    <w:qFormat/>
    <w:pPr>
      <w:widowControl w:val="false"/>
      <w:shd w:fill="FFFFFF" w:val="clear"/>
      <w:spacing w:lineRule="exact" w:line="470" w:before="0" w:after="420"/>
    </w:pPr>
    <w:rPr>
      <w:rFonts w:ascii="Arial Narrow" w:hAnsi="Arial Narrow" w:eastAsia="Arial Narrow" w:cs="Arial Narrow"/>
      <w:i/>
      <w:iCs/>
      <w:spacing w:val="-20"/>
      <w:lang w:val="ru-RU"/>
    </w:rPr>
  </w:style>
  <w:style w:type="paragraph" w:styleId="ConsPlusNormal">
    <w:name w:val="ConsPlusNormal"/>
    <w:qFormat/>
    <w:pPr>
      <w:widowControl w:val="false"/>
      <w:autoSpaceDE w:val="false"/>
      <w:ind w:firstLine="720"/>
    </w:pPr>
    <w:rPr>
      <w:rFonts w:ascii="Arial" w:hAnsi="Arial" w:eastAsia="Times New Roman" w:cs="Arial"/>
      <w:color w:val="auto"/>
      <w:sz w:val="20"/>
      <w:szCs w:val="20"/>
      <w:lang w:val="ru-RU" w:bidi="ar-SA" w:eastAsia="zh-CN"/>
    </w:rPr>
  </w:style>
  <w:style w:type="paragraph" w:styleId="Style19">
    <w:name w:val="Обычный (веб)"/>
    <w:basedOn w:val="Normal"/>
    <w:qFormat/>
    <w:pPr>
      <w:spacing w:before="280" w:after="280"/>
    </w:pPr>
    <w:rPr>
      <w:color w:val="000000"/>
      <w:sz w:val="24"/>
      <w:szCs w:val="24"/>
      <w:lang w:val="ru-RU"/>
    </w:rPr>
  </w:style>
  <w:style w:type="paragraph" w:styleId="Style20">
    <w:name w:val="Абзац списка"/>
    <w:basedOn w:val="Normal"/>
    <w:qFormat/>
    <w:pPr>
      <w:ind w:left="708" w:hanging="0"/>
    </w:pPr>
    <w:rPr/>
  </w:style>
  <w:style w:type="paragraph" w:styleId="TableParagraph">
    <w:name w:val="Table Paragraph"/>
    <w:basedOn w:val="Normal"/>
    <w:qFormat/>
    <w:pPr>
      <w:widowControl w:val="false"/>
      <w:autoSpaceDE w:val="false"/>
    </w:pPr>
    <w:rPr>
      <w:rFonts w:eastAsia="Times New Roman"/>
      <w:sz w:val="24"/>
      <w:szCs w:val="24"/>
      <w:lang w:val="ru-RU"/>
    </w:rPr>
  </w:style>
  <w:style w:type="paragraph" w:styleId="Style21">
    <w:name w:val="Содержимое таблицы"/>
    <w:basedOn w:val="Normal"/>
    <w:qFormat/>
    <w:pPr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WW8Num1">
    <w:name w:val="WW8Num1"/>
    <w:qFormat/>
  </w:style>
  <w:style w:type="numbering" w:styleId="WW8Num2">
    <w:name w:val="WW8Num2"/>
    <w:qFormat/>
  </w:style>
  <w:style w:type="numbering" w:styleId="WW8Num3">
    <w:name w:val="WW8Num3"/>
    <w:qFormat/>
  </w:style>
  <w:style w:type="numbering" w:styleId="WW8Num4">
    <w:name w:val="WW8Num4"/>
    <w:qFormat/>
  </w:style>
  <w:style w:type="numbering" w:styleId="WW8Num5">
    <w:name w:val="WW8Num5"/>
    <w:qFormat/>
  </w:style>
  <w:style w:type="numbering" w:styleId="WW8Num6">
    <w:name w:val="WW8Num6"/>
    <w:qFormat/>
  </w:style>
  <w:style w:type="numbering" w:styleId="WW8Num7">
    <w:name w:val="WW8Num7"/>
    <w:qFormat/>
  </w:style>
  <w:style w:type="numbering" w:styleId="WW8Num8">
    <w:name w:val="WW8Num8"/>
    <w:qFormat/>
  </w:style>
  <w:style w:type="numbering" w:styleId="WW8Num9">
    <w:name w:val="WW8Num9"/>
    <w:qFormat/>
  </w:style>
  <w:style w:type="numbering" w:styleId="WW8Num10">
    <w:name w:val="WW8Num10"/>
    <w:qFormat/>
  </w:style>
  <w:style w:type="numbering" w:styleId="WW8Num11">
    <w:name w:val="WW8Num11"/>
    <w:qFormat/>
  </w:style>
  <w:style w:type="numbering" w:styleId="WW8Num12">
    <w:name w:val="WW8Num12"/>
    <w:qFormat/>
  </w:style>
  <w:style w:type="numbering" w:styleId="WW8Num13">
    <w:name w:val="WW8Num13"/>
    <w:qFormat/>
  </w:style>
  <w:style w:type="numbering" w:styleId="WW8Num14">
    <w:name w:val="WW8Num14"/>
    <w:qFormat/>
  </w:style>
  <w:style w:type="numbering" w:styleId="WW8Num15">
    <w:name w:val="WW8Num15"/>
    <w:qFormat/>
  </w:style>
  <w:style w:type="numbering" w:styleId="WW8Num16">
    <w:name w:val="WW8Num16"/>
    <w:qFormat/>
  </w:style>
  <w:style w:type="numbering" w:styleId="WW8Num17">
    <w:name w:val="WW8Num17"/>
    <w:qFormat/>
  </w:style>
  <w:style w:type="numbering" w:styleId="WW8Num18">
    <w:name w:val="WW8Num18"/>
    <w:qFormat/>
  </w:style>
  <w:style w:type="numbering" w:styleId="WW8Num19">
    <w:name w:val="WW8Num19"/>
    <w:qFormat/>
  </w:style>
  <w:style w:type="numbering" w:styleId="WW8Num20">
    <w:name w:val="WW8Num20"/>
    <w:qFormat/>
  </w:style>
  <w:style w:type="numbering" w:styleId="WW8Num21">
    <w:name w:val="WW8Num21"/>
    <w:qFormat/>
  </w:style>
  <w:style w:type="numbering" w:styleId="WW8Num22">
    <w:name w:val="WW8Num22"/>
    <w:qFormat/>
  </w:style>
  <w:style w:type="numbering" w:styleId="WW8Num23">
    <w:name w:val="WW8Num23"/>
    <w:qFormat/>
  </w:style>
  <w:style w:type="numbering" w:styleId="WW8Num24">
    <w:name w:val="WW8Num24"/>
    <w:qFormat/>
  </w:style>
  <w:style w:type="numbering" w:styleId="WW8Num25">
    <w:name w:val="WW8Num25"/>
    <w:qFormat/>
  </w:style>
  <w:style w:type="numbering" w:styleId="WW8Num26">
    <w:name w:val="WW8Num26"/>
    <w:qFormat/>
  </w:style>
  <w:style w:type="numbering" w:styleId="WW8Num27">
    <w:name w:val="WW8Num27"/>
    <w:qFormat/>
  </w:style>
  <w:style w:type="numbering" w:styleId="WW8Num28">
    <w:name w:val="WW8Num28"/>
    <w:qFormat/>
  </w:style>
  <w:style w:type="numbering" w:styleId="WW8Num29">
    <w:name w:val="WW8Num29"/>
    <w:qFormat/>
  </w:style>
  <w:style w:type="numbering" w:styleId="WW8Num30">
    <w:name w:val="WW8Num30"/>
    <w:qFormat/>
  </w:style>
  <w:style w:type="numbering" w:styleId="WW8Num31">
    <w:name w:val="WW8Num31"/>
    <w:qFormat/>
  </w:style>
  <w:style w:type="numbering" w:styleId="WW8Num32">
    <w:name w:val="WW8Num32"/>
    <w:qFormat/>
  </w:style>
  <w:style w:type="numbering" w:styleId="WW8Num33">
    <w:name w:val="WW8Num33"/>
    <w:qFormat/>
  </w:style>
  <w:style w:type="numbering" w:styleId="WW8Num34">
    <w:name w:val="WW8Num34"/>
    <w:qFormat/>
  </w:style>
  <w:style w:type="numbering" w:styleId="WW8Num35">
    <w:name w:val="WW8Num35"/>
    <w:qFormat/>
  </w:style>
  <w:style w:type="numbering" w:styleId="WW8Num36">
    <w:name w:val="WW8Num36"/>
    <w:qFormat/>
  </w:style>
  <w:style w:type="numbering" w:styleId="WW8Num37">
    <w:name w:val="WW8Num37"/>
    <w:qFormat/>
  </w:style>
  <w:style w:type="numbering" w:styleId="WW8Num38">
    <w:name w:val="WW8Num38"/>
    <w:qFormat/>
  </w:style>
  <w:style w:type="numbering" w:styleId="WW8Num39">
    <w:name w:val="WW8Num39"/>
    <w:qFormat/>
  </w:style>
  <w:style w:type="numbering" w:styleId="WW8Num40">
    <w:name w:val="WW8Num40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header" Target="header1.xml"/><Relationship Id="rId10" Type="http://schemas.openxmlformats.org/officeDocument/2006/relationships/header" Target="header2.xml"/><Relationship Id="rId11" Type="http://schemas.openxmlformats.org/officeDocument/2006/relationships/numbering" Target="numbering.xml"/><Relationship Id="rId12" Type="http://schemas.openxmlformats.org/officeDocument/2006/relationships/fontTable" Target="fontTable.xml"/><Relationship Id="rId13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3601</TotalTime>
  <Application>LibreOffice/5.1.2.2$Windows_X86_64 LibreOffice_project/d3bf12ecb743fc0d20e0be0c58ca359301eb705f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2019-10-25T11:11:00Z</dcterms:created>
  <dc:creator>Victoria Gordeeva</dc:creator>
  <dc:description/>
  <dc:language>ru-RU</dc:language>
  <cp:lastModifiedBy>Пользователь Windows</cp:lastModifiedBy>
  <cp:lastPrinted>2019-10-15T14:19:00Z</cp:lastPrinted>
  <dcterms:modified xsi:type="dcterms:W3CDTF">2020-04-29T15:29:00Z</dcterms:modified>
  <cp:revision>197</cp:revision>
  <dc:subject/>
  <dc:title/>
</cp:coreProperties>
</file>