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overflowPunct w:val="false"/>
        <w:ind w:left="5529" w:hanging="0"/>
        <w:textAlignment w:val="auto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</w:p>
    <w:p>
      <w:pPr>
        <w:pStyle w:val="Normal"/>
        <w:widowControl w:val="false"/>
        <w:overflowPunct w:val="false"/>
        <w:ind w:left="5529" w:hanging="0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постановлению</w:t>
      </w:r>
    </w:p>
    <w:p>
      <w:pPr>
        <w:pStyle w:val="Normal"/>
        <w:widowControl w:val="false"/>
        <w:tabs>
          <w:tab w:val="left" w:pos="6379" w:leader="none"/>
        </w:tabs>
        <w:overflowPunct w:val="false"/>
        <w:ind w:left="5529" w:hanging="0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министерства труда и социальной защиты</w:t>
      </w:r>
    </w:p>
    <w:p>
      <w:pPr>
        <w:pStyle w:val="Normal"/>
        <w:widowControl w:val="false"/>
        <w:overflowPunct w:val="false"/>
        <w:ind w:left="5529" w:hanging="0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населения Рязанской области</w:t>
      </w:r>
    </w:p>
    <w:p>
      <w:pPr>
        <w:pStyle w:val="Normal"/>
        <w:tabs>
          <w:tab w:val="left" w:pos="5520" w:leader="none"/>
          <w:tab w:val="left" w:pos="6060" w:leader="none"/>
        </w:tabs>
        <w:overflowPunct w:val="false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от 29 июня 2020 № 27</w:t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ПОЛОЖЕНИЕ</w:t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порядке проведения ежегодного конкурса детского рисунка</w:t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«Охрана труда глазами детей»</w:t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Общие положения</w:t>
      </w:r>
    </w:p>
    <w:p>
      <w:pPr>
        <w:pStyle w:val="Normal"/>
        <w:tabs>
          <w:tab w:val="left" w:pos="6060" w:leader="none"/>
        </w:tabs>
        <w:overflowPunct w:val="false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1.1. Настоящее Положение определяет порядок и условия проведения в Рязанской области конкурса детского рисунка «Охрана труда глазами детей» (далее </w:t>
      </w:r>
      <w:r>
        <w:rPr>
          <w:rFonts w:eastAsia="Symbol" w:cs="Symbol" w:ascii="Symbol" w:hAnsi="Symbol"/>
          <w:szCs w:val="28"/>
        </w:rPr>
        <w:t></w:t>
      </w:r>
      <w:r>
        <w:rPr>
          <w:rFonts w:ascii="Times New Roman" w:hAnsi="Times New Roman"/>
          <w:szCs w:val="28"/>
        </w:rPr>
        <w:t xml:space="preserve"> конкурс).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 Конкурс проводится ежегодно в целях привлечения внимания подрастающего поколения к вопросам охраны труда средствами детского художественного творчества и призван содействовать развитию и совершенствованию работы по охране труда.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1.3. В конкурсе могут принять участие учащиеся и воспитанники общеобразовательных организаций, организаций дополнительного образования, осуществляющих свою деятельность на территории Рязанской области (далее </w:t>
      </w:r>
      <w:r>
        <w:rPr>
          <w:rFonts w:eastAsia="Symbol" w:cs="Symbol" w:ascii="Symbol" w:hAnsi="Symbol"/>
          <w:szCs w:val="28"/>
        </w:rPr>
        <w:t></w:t>
      </w:r>
      <w:r>
        <w:rPr>
          <w:rFonts w:ascii="Times New Roman" w:hAnsi="Times New Roman"/>
          <w:szCs w:val="28"/>
        </w:rPr>
        <w:t xml:space="preserve"> образовательные организации). Участниками конкурса могут быть также дети, обучающиеся на дому, проживающие на территории Рязанской области.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 Участие в конкурсе осуществляется на безвозмездной (бесплатной) основе.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 Конкурс проводится по двум номинациям: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«Лучшая конкурсная работа среди детей в возрасте от 7 до 9 лет»;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«Лучшая конкурсная работа среди детей в возрасте от 10 до 15 лет».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Порядок организации конкурса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2.1. Организатором конкурса является министерство труда и социальной защиты населения Рязанской области (далее </w:t>
      </w:r>
      <w:r>
        <w:rPr>
          <w:rFonts w:eastAsia="Symbol" w:cs="Symbol" w:ascii="Symbol" w:hAnsi="Symbol"/>
          <w:szCs w:val="28"/>
        </w:rPr>
        <w:t></w:t>
      </w:r>
      <w:r>
        <w:rPr>
          <w:rFonts w:ascii="Times New Roman" w:hAnsi="Times New Roman"/>
          <w:szCs w:val="28"/>
        </w:rPr>
        <w:t xml:space="preserve"> министерство).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 Для проведения конкурса, оценки работ и определения победителей и призеров создается конкурсная комиссия (далее </w:t>
      </w:r>
      <w:r>
        <w:rPr>
          <w:rFonts w:eastAsia="Symbol" w:cs="Symbol" w:ascii="Symbol" w:hAnsi="Symbol"/>
          <w:szCs w:val="28"/>
        </w:rPr>
        <w:t></w:t>
      </w:r>
      <w:r>
        <w:rPr>
          <w:rFonts w:ascii="Times New Roman" w:hAnsi="Times New Roman"/>
          <w:szCs w:val="28"/>
        </w:rPr>
        <w:t xml:space="preserve"> комиссия),  состав которой ежегодно утверждается приказом министерства. 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 В состав комиссии включаются представители органов исполнительной власти Рязанской области, члены творческих объединений, специалисты в области изобразительного и декоративно-прикладного искусства организаций сферы образования и культуры, иные представители.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2.4. Заседание комиссии считается правомочным, если в нем принимает участие не менее половины ее установленного состава. 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2.5. В процессе оценки конкурсных работ выставленные каждым членом комиссии баллы для каждой работы суммируются, образуя итоговый балл.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2.6. Победителями конкурса в каждой номинации считаются участники, набравшие наибольшее количество баллов; призерами  </w:t>
      </w:r>
      <w:r>
        <w:rPr>
          <w:rFonts w:eastAsia="Symbol" w:cs="Symbol" w:ascii="Symbol" w:hAnsi="Symbol"/>
          <w:szCs w:val="28"/>
        </w:rPr>
        <w:t></w:t>
      </w:r>
      <w:r>
        <w:rPr>
          <w:rFonts w:ascii="Times New Roman" w:hAnsi="Times New Roman"/>
          <w:szCs w:val="28"/>
        </w:rPr>
        <w:t xml:space="preserve">  участники, занявшие второе или третье место по количеству баллов. В случае равенства баллов, члены комиссии открытым голосованием определяют участника, занимающего более высокое место.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2.7. Результаты конкурса оформляются протоколом, подписываемым председателем комиссии и всеми ее членами.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Порядок проведения конкурса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3.1. Конкурс проводится ежегодно в период с 01 октября по                   25 декабря.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3.2. Организационно-техническое обеспечение проведения конкурса, в том числе прием и учет конкурсных работ, осуществляет отдел охраны труда управления труда министерства. 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 Информационное сообщение о начале проведения конкурса публикуется ежегодно в срок не позднее 15 сентября на официальном сайте министерства.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 Конкурсные работы с сопроводительным письмом, а также согласием на обработку персональных данных передаются лично в министерство по адресу 390005, г. Рязань, ул. Ленинского Комсомола, д.7.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trike/>
          <w:szCs w:val="28"/>
        </w:rPr>
      </w:pPr>
      <w:r>
        <w:rPr>
          <w:rFonts w:ascii="Times New Roman" w:hAnsi="Times New Roman"/>
          <w:szCs w:val="28"/>
        </w:rPr>
        <w:t>3.5. Конкурсные работы могут быть направлены как непосредственно участником конкурса (его законным представителем), так и образовательным учреждением, в котором он обучается.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3.6. Конкурсные работы принимаются ежегодно в период с 01 октября по 10 ноября. Рисунки, поступившие в министерство в иные сроки, не участвуют в конкурсе.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3.7. На конкурс принимаются только инд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ивидуальные оригинальные авторские работы, соответствующие условиям конкурса. Один участник конкурса может представить не более одного рисунка. 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3.8. Представленные на конкурс рисунки не возвращаются авторам работ.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Требования к оформлению работ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4.1. К участию в конкурсе допускаются рисунки, выполненные учащимися на любом материале (ватман, картон, холст и т.д.), в форматах A4, A3, исполненные в любой технике рисования (масло, акварель, цветные карандаши, мелки и т.д.) без рамок и ламинирования.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 Участники конкурса должны быть непосредственными авторами работ. Родители или педагоги могут консультировать и помогать детям, но не могут быть исполнителями работ.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4.3. Конкурсные работы должны иметь этикетку размером 5 см × 10 см, на которой указаны название работы, фамилия, имя, отчество автора (полностью), возраст.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4.4. Этикетка печатается полужирным шрифтом Times New Roman      № 14 с одинарным межстрочным интервалом.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4.5. Этикетка конкурсной работы прикрепляется к лицевой стороне конкурсной работы в правом нижнем углу.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4.6. Сопроводительное письмо должно содержать информацию о каждой направляемой конкурсной работе, в том числе, сведения об авторе, почтовый адрес и  контактный телефон образовательной организации, Ф.И.О. и должность художественных руководителей (для детей, обучающихся на дому – почтовый адрес, контактный телефон, Ф.И.О. законного представителя), наименование и краткое описание идеи рисунка, подпись руководителя образовательного учреждения либо лица его замещающего.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4.7. Согласие на обработку персональных данных заполняется законными представителями участника конкурса по форме согласно приложению к настоящему положению.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numPr>
          <w:ilvl w:val="0"/>
          <w:numId w:val="0"/>
        </w:numPr>
        <w:overflowPunct w:val="false"/>
        <w:jc w:val="center"/>
        <w:textAlignment w:val="auto"/>
        <w:outlineLvl w:val="0"/>
        <w:rPr>
          <w:rFonts w:ascii="Times New Roman" w:hAnsi="Times New Roman" w:eastAsia="Calibri" w:eastAsiaTheme="minorHAnsi"/>
          <w:szCs w:val="28"/>
          <w:lang w:eastAsia="en-US"/>
        </w:rPr>
      </w:pPr>
      <w:r>
        <w:rPr>
          <w:rFonts w:eastAsia="Calibri" w:ascii="Times New Roman" w:hAnsi="Times New Roman" w:eastAsiaTheme="minorHAnsi"/>
          <w:szCs w:val="28"/>
          <w:lang w:eastAsia="en-US"/>
        </w:rPr>
        <w:t>5. Критерии оценки конкурсных работ</w:t>
      </w:r>
    </w:p>
    <w:p>
      <w:pPr>
        <w:pStyle w:val="Normal"/>
        <w:overflowPunct w:val="false"/>
        <w:jc w:val="both"/>
        <w:textAlignment w:val="auto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overflowPunct w:val="false"/>
        <w:jc w:val="both"/>
        <w:textAlignment w:val="auto"/>
        <w:rPr>
          <w:rFonts w:ascii="Calibri" w:hAnsi="Calibri" w:eastAsia="Calibri" w:cs="Calibri" w:eastAsiaTheme="minorHAnsi"/>
          <w:sz w:val="22"/>
          <w:szCs w:val="22"/>
          <w:lang w:eastAsia="en-US"/>
        </w:rPr>
      </w:pPr>
      <w:r>
        <w:rPr>
          <w:rFonts w:eastAsia="Calibri" w:cs="Calibri" w:eastAsiaTheme="minorHAnsi" w:ascii="Calibri" w:hAnsi="Calibri"/>
          <w:sz w:val="22"/>
          <w:szCs w:val="22"/>
          <w:lang w:eastAsia="en-US"/>
        </w:rPr>
      </w:r>
    </w:p>
    <w:tbl>
      <w:tblPr>
        <w:tblW w:w="9638" w:type="dxa"/>
        <w:jc w:val="left"/>
        <w:tblInd w:w="-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624"/>
        <w:gridCol w:w="6690"/>
        <w:gridCol w:w="2324"/>
      </w:tblGrid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 xml:space="preserve">№ </w:t>
            </w: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п/п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Критерии оценки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Количество баллов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1.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Соответствие содержания заданной теме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2.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Мастерство и оригинальность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3.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Доступность для восприятия окружающими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4.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Колорит рисунка и качество оформления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Композиция (заполняемость листа, разнообразие предметов)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6.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Пластика - выразительность в передаче движения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7.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Аккуратность исполнения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8.</w:t>
            </w:r>
          </w:p>
        </w:tc>
        <w:tc>
          <w:tcPr>
            <w:tcW w:w="6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both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 xml:space="preserve">Самостоятельность исполнения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Times New Roman" w:hAnsi="Times New Roman" w:eastAsia="Calibri" w:eastAsiaTheme="minorHAnsi"/>
                <w:szCs w:val="28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Cs w:val="28"/>
                <w:lang w:eastAsia="en-US"/>
              </w:rPr>
              <w:t>5/0</w:t>
            </w:r>
          </w:p>
        </w:tc>
      </w:tr>
    </w:tbl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Подведение итогов и награждение участников конкурса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6.1. Подведение итогов конкурса и награждение победителей и призеров производится ежегодно с 10 ноября по 25 декабря.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6.2. Победители и призеры конкурса в каждой номинации награждаются Дипломами министерства в рамках под стеклом и денежными призами в размере: за 1 место – 3000 (три тысячи) рублей, за 2 место – 2000 (две тысячи) рублей, за 3 место – 1000 (одна тысяча) рублей.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6.3. Остальные участники конкурса и педагоги (художественные руководители) участников конкурса отмечаются Благодарственными письмами.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6.4. Награждение победителей и призеров конкурса проводится в торжественной обстановке.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6.5. На официальном сайте министерства размещается информация об итогах конкурса, копии рисунков победителей и призеров конкурса.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 Финансирование конкурса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7.1. Финансовое обеспечение расходов на поощрение победителей и призеров конкурса предусматривается ежегодно законом Рязанской области об областном бюджете на соответствующий финансовый год в соответствии с государственной программой Рязанской области «О развитии сферы занятости», утвержденной Постановлением Правительства Рязанской области от 29.10.2014 № 309.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7.2. Призовой фонд составляет 12000 (двенадцать тысяч) рублей ежегодно.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7.3. Для перечисления денежного поощрения законные представители победителей и призеров конкурса в течение 10 (десяти) рабочих дней с момента награждения представляют в министерство заявление о выплате денежного поощрения с указанием реквизитов банковского счета по вкладу, открытого в финансово-кредитных организациях, расположенных на территории Российской Федерации; копию документа, удостоверяющего личность; сведения об индивидуальном номере налогоплательщика (если выдавался налоговыми органами) и страховом номере индивидуального лицевого счета застрахованного лица в системе персонифицированного учета Пенсионного фонда Российской Федерации. Заявление регистрируется в министерстве в день поступления.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7.4. Выплата денежного поощрения осуществляется в течение одного календарного месяца с момента представления призерами конкурса документов, указанных в пункте 7.3 настоящего Положения, путем перечисления в установленном порядке средств областного бюджета с лицевого счета министерства, открытого в Управлении Федерального казначейства по Рязанской области, на счета по вкладам, открытым законными представителями призеров конкурса в финансово-кредитных организациях, расположенных на территории Российской Федерации.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7.5. Основанием для выплаты денежного поощрения является приказ министерства о выплате денежного поощрения победителям и призерам конкурса, издаваемый на основании протокола конкурсной комиссии и заявления законного представителя, указанного в пункте 7.3 настоящего Положения.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7.6. Уплата налогов с сумм денежного поощрения осуществляется законными представителями победителей и призеров конкурса в соответствии с законодательством Российской Федерации.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7.7. Расходы, связанные с изготовлением Дипломов министерства и Благодарственных писем, осуществляются за счет и в пределах средств, предусматриваемых в областном бюджете министерству на очередной финансовый год и плановый период.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Дополнительные условия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8.1. Предоставляя конкурсную работу, участники конкурса                 (их законные представители) соглашаются с правилами проведения конкурса, а также дают согласие на публикацию своих работ на официальном сайте министерства, публичную демонстрацию и использование органами исполнительной власти Рязанской области конкурсных работ в некоммерческих целях, а также на обработку своих персональных данных.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8.2. Конкурсные работы могут быть использованы органами исполнительной власти Рязанской области для размещения как в информационно-коммуникационной сети Интернет, на любом сайте, так и в других средствах массовой информации, а также при организации семинаров, совещаний, презентаций, выставок и иных публичных мероприятий для популяризации и освещения деятельности конкурса с сохранением авторства, без дополнительных условий и без выплаты авторских гонораров или иных отчислений.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8.3. Министерство не несет ответственности за несанкционированное использование конкурсных работ либо их частей третьими лицами, повлекшее нарушение авторских прав.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8.4. Участники конкурса (их законные представители) гарантируют, что созданные ими работы не были ранее воспроизведены, распространены путем продажи или иного отчуждения, публично показаны; не заложены, не переданы по договору иным лицам.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8.5. Участники конкурса (их законные представители) гарантируют, что представленные ими работы не нарушают авторские права и иные права третьих лиц.</w:t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850" w:header="708" w:top="1134" w:footer="0" w:bottom="1134" w:gutter="0"/>
          <w:pgNumType w:fmt="decimal"/>
          <w:formProt w:val="false"/>
          <w:titlePg/>
          <w:textDirection w:val="lrTb"/>
          <w:docGrid w:type="default" w:linePitch="381" w:charSpace="4294952959"/>
        </w:sect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spacing w:before="0" w:after="0"/>
        <w:ind w:left="5528"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</w:p>
    <w:p>
      <w:pPr>
        <w:pStyle w:val="Normal"/>
        <w:spacing w:before="0" w:after="0"/>
        <w:ind w:left="5528" w:hanging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Положению о порядке проведения ежегодного конкурса детского рисунка «Охрана труда глазами детей»</w:t>
      </w:r>
    </w:p>
    <w:p>
      <w:pPr>
        <w:pStyle w:val="ConsPlusNormal1"/>
        <w:jc w:val="right"/>
        <w:rPr/>
      </w:pPr>
      <w:r>
        <w:rPr/>
      </w:r>
    </w:p>
    <w:p>
      <w:pPr>
        <w:pStyle w:val="ConsPlusNormal1"/>
        <w:jc w:val="right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</w:rPr>
        <w:t>СОГЛАСИЕ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труда и социальной защиты населения Рязанской области                     ____________________________________</w:t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 (Ф.И.О. законного представителя участника)               ______________________________________</w:t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(индекс, адрес регистрации)</w:t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паспорт: серия _________ номер __________ выдан_________________________________                         ______________________________________</w:t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______________________________________(дата выдачи и наименование органа, выдавшего документ)</w:t>
      </w:r>
    </w:p>
    <w:p>
      <w:pPr>
        <w:pStyle w:val="ConsPlusNonformat"/>
        <w:ind w:left="39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>(фамилия, имя, отчество полностью)</w:t>
      </w:r>
    </w:p>
    <w:p>
      <w:pPr>
        <w:pStyle w:val="ConsPlusNormal1"/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статьей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27.07.2006 г. № 152-ФЗ    «О персональных данных» даю согласие министерству труда и социальной защиты населения Рязанской области (далее - Министерство), расположенному по адресу: 390005, г. Рязань, ул. Ленинского Комсомола,     д. 7, на автоматизированную, а также без использования средств автоматизации обработку и передачу (совершение действий, предусмотренных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пунктом 3 статьи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27.07.2006 г. № 152-ФЗ «О персональных данных») моих персональных данных, а также персональных данных участника конкурса детского рисунка «Охрана труда глазами детей» (далее - Конкурс):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ConsPlusNonformat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(фамилия, имя, отчество полностью)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обработки персональных данных является необходимость их размещения в журнале регистрации участников Конкурса, включающем в себя информацию о фамилии, имени, отчестве, возрасте участника Конкурса, паспортных данных родителя, опекуна, усыновителя или другого законного представителя ребенка, почтовом адресе, контактных данных, банковских реквизитах, СНИЛСе, ИНН для перечисления денежных призов.</w:t>
      </w:r>
    </w:p>
    <w:p>
      <w:pPr>
        <w:pStyle w:val="ConsPlusNormal1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персональных данных, на обработку и передачу которых дается согласие:</w:t>
      </w:r>
    </w:p>
    <w:p>
      <w:pPr>
        <w:pStyle w:val="ConsPlusNormal1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детей в возрасте от 4 до 14 лет: фамилия, имя, возраст участника Конкурса, паспортные данные родителя, опекуна, усыновителя или другого законного представителя ребенка, почтовый адрес, контактная информация, банковские реквизиты, СНИЛС, ИНН.</w:t>
      </w:r>
    </w:p>
    <w:p>
      <w:pPr>
        <w:pStyle w:val="ConsPlusNormal1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детей в возрасте от 14 до 16 лет: фамилия, имя, отчество, возраст участника Конкурса, паспортные данные, почтовый адрес, контактная информация, банковские реквизиты, СНИЛС, ИНН.</w:t>
      </w:r>
    </w:p>
    <w:p>
      <w:pPr>
        <w:pStyle w:val="ConsPlusNormal1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действий (операций) с персональными данными, на совершение которых дается согласие: сбор, систематизация, хранение, использование, публикация (фамилия, имя, отчество, возраст участников и победителей Конкурса), уничтожение персональных данных.</w:t>
      </w:r>
    </w:p>
    <w:p>
      <w:pPr>
        <w:pStyle w:val="ConsPlusNormal1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2"/>
      <w:bookmarkEnd w:id="1"/>
      <w:r>
        <w:rPr>
          <w:rFonts w:cs="Times New Roman" w:ascii="Times New Roman" w:hAnsi="Times New Roman"/>
          <w:sz w:val="28"/>
          <w:szCs w:val="28"/>
        </w:rPr>
        <w:t>Согласие действует со дня его подписания до дня уничтожения персональных данных Министерством или до дня отзыва подавшего Заявку на участие в Конкурсе.</w:t>
      </w:r>
    </w:p>
    <w:p>
      <w:pPr>
        <w:pStyle w:val="ConsPlusNormal1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согласие может быть отозвано в письменной форме путем направления в Министерство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порядком отзыва согласия на обработку персональных данных ознакомлен(а).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«___»____________20__ г.   _______________/________________________/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(подпись)           (расшифровка подписи)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tabs>
          <w:tab w:val="left" w:pos="6060" w:leader="none"/>
        </w:tabs>
        <w:overflowPunct w:val="false"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5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Baltic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32901278"/>
    </w:sdtPr>
    <w:sdtContent>
      <w:p>
        <w:pPr>
          <w:pStyle w:val="Style23"/>
          <w:jc w:val="center"/>
          <w:rPr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89632929"/>
    </w:sdtPr>
    <w:sdtContent>
      <w:p>
        <w:pPr>
          <w:pStyle w:val="Style23"/>
          <w:jc w:val="center"/>
          <w:rPr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7898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Baltica" w:hAnsi="Baltica" w:eastAsia="Times New Roman" w:cs="Times New Roman"/>
      <w:color w:val="auto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uiPriority w:val="99"/>
    <w:qFormat/>
    <w:locked/>
    <w:rsid w:val="00787898"/>
    <w:rPr>
      <w:rFonts w:ascii="Calibri" w:hAnsi="Calibri" w:eastAsia="Times New Roman" w:cs="Calibri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87898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45428"/>
    <w:rPr>
      <w:rFonts w:ascii="Baltica" w:hAnsi="Baltica" w:eastAsia="Times New Roman" w:cs="Times New Roman"/>
      <w:sz w:val="28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445428"/>
    <w:rPr>
      <w:rFonts w:ascii="Baltica" w:hAnsi="Baltica" w:eastAsia="Times New Roman" w:cs="Times New Roman"/>
      <w:sz w:val="28"/>
      <w:szCs w:val="20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78789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8"/>
      <w:szCs w:val="20"/>
      <w:lang w:eastAsia="ru-RU" w:val="ru-RU" w:bidi="ar-SA"/>
    </w:rPr>
  </w:style>
  <w:style w:type="paragraph" w:styleId="21" w:customStyle="1">
    <w:name w:val="Основной текст 21"/>
    <w:basedOn w:val="Normal"/>
    <w:qFormat/>
    <w:rsid w:val="00787898"/>
    <w:pPr>
      <w:widowControl w:val="false"/>
      <w:spacing w:before="0" w:after="60"/>
      <w:ind w:left="-142" w:hanging="0"/>
      <w:jc w:val="center"/>
    </w:pPr>
    <w:rPr>
      <w:rFonts w:ascii="Times New Roman" w:hAnsi="Times New Roman"/>
      <w:b/>
      <w:sz w:val="16"/>
    </w:rPr>
  </w:style>
  <w:style w:type="paragraph" w:styleId="Caption">
    <w:name w:val="caption"/>
    <w:basedOn w:val="Normal"/>
    <w:semiHidden/>
    <w:unhideWhenUsed/>
    <w:qFormat/>
    <w:rsid w:val="00787898"/>
    <w:pPr>
      <w:overflowPunct w:val="false"/>
      <w:spacing w:lineRule="auto" w:line="288"/>
      <w:jc w:val="center"/>
      <w:textAlignment w:val="auto"/>
    </w:pPr>
    <w:rPr>
      <w:rFonts w:ascii="Times New Roman" w:hAnsi="Times New Roman"/>
      <w:b/>
      <w:sz w:val="36"/>
      <w:szCs w:val="26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87898"/>
    <w:pPr/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7"/>
    <w:uiPriority w:val="99"/>
    <w:unhideWhenUsed/>
    <w:rsid w:val="00445428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9"/>
    <w:uiPriority w:val="99"/>
    <w:semiHidden/>
    <w:unhideWhenUsed/>
    <w:rsid w:val="00445428"/>
    <w:pPr>
      <w:tabs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542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consultantplus://offline/ref=0D45672582D7EF44F27B83E36D5B1414F6742DC5CB7A8363993F040822F1859896CEB5BC18AE80CB159AF2A8B7E8054FFB6ECD1CD75CA053W671H" TargetMode="External"/><Relationship Id="rId4" Type="http://schemas.openxmlformats.org/officeDocument/2006/relationships/hyperlink" Target="consultantplus://offline/ref=0D45672582D7EF44F27B83E36D5B1414F6742DC5CB7A8363993F040822F1859896CEB5BC18AE80CF149AF2A8B7E8054FFB6ECD1CD75CA053W671H" TargetMode="Externa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0C1FA-9AA1-4F31-8ABE-DBCC9DF5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LibreOffice/5.1.2.2$Windows_X86_64 LibreOffice_project/d3bf12ecb743fc0d20e0be0c58ca359301eb705f</Application>
  <Pages>7</Pages>
  <Words>1628</Words>
  <Characters>11762</Characters>
  <CharactersWithSpaces>13554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2020-05-29T06:23:00Z</dcterms:created>
  <dc:creator>doseykinada</dc:creator>
  <dc:description/>
  <dc:language>ru-RU</dc:language>
  <cp:lastModifiedBy/>
  <cp:lastPrinted>2020-06-19T08:49:00Z</cp:lastPrinted>
  <dcterms:modified xsi:type="dcterms:W3CDTF">2020-06-30T13:56:03Z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