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134" w:leader="none"/>
        </w:tabs>
        <w:rPr/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ListParagraph"/>
        <w:tabs>
          <w:tab w:val="left" w:pos="1134" w:leader="none"/>
        </w:tabs>
        <w:ind w:left="709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к постановлению министерства </w:t>
      </w:r>
    </w:p>
    <w:p>
      <w:pPr>
        <w:pStyle w:val="ListParagraph"/>
        <w:tabs>
          <w:tab w:val="left" w:pos="1134" w:leader="none"/>
        </w:tabs>
        <w:ind w:left="709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финансов Рязанской области</w:t>
      </w:r>
    </w:p>
    <w:p>
      <w:pPr>
        <w:pStyle w:val="ListParagraph"/>
        <w:tabs>
          <w:tab w:val="left" w:pos="1134" w:leader="none"/>
        </w:tabs>
        <w:ind w:left="709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от 3 декабря 2020 г. № 26</w:t>
      </w:r>
    </w:p>
    <w:p>
      <w:pPr>
        <w:pStyle w:val="ListParagraph"/>
        <w:tabs>
          <w:tab w:val="left" w:pos="1134" w:leader="none"/>
        </w:tabs>
        <w:ind w:left="709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left" w:pos="1134" w:leader="none"/>
        </w:tabs>
        <w:ind w:left="709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tabs>
          <w:tab w:val="left" w:pos="1134" w:leader="none"/>
        </w:tabs>
        <w:ind w:left="709" w:hanging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«II. Другие должности государственной гражданской службы,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замещение которых связано с коррупционными рисками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Должности государственной гражданской службы, исполнение обязанностей по которым предусматривает: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контрольных и надзорных мероприятий;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государственных закупок либо выдачу лицензий и разрешений;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хранение и распределение материально-технических ресурсов.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Style w:val="ac"/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9179"/>
      </w:tblGrid>
      <w:tr>
        <w:trPr/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Бюджетное управление</w:t>
            </w:r>
          </w:p>
        </w:tc>
      </w:tr>
      <w:tr>
        <w:trPr/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Отдел межбюджетных отношений бюджетного управления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/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Административно-правовое управление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 (аудитор)</w:t>
            </w:r>
          </w:p>
        </w:tc>
      </w:tr>
      <w:tr>
        <w:trPr/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Отдел кадров, государственной службы, правовой и специальной работы административно-правового управления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/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Административный отдел административно-правового управления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>
          <w:trHeight w:val="178" w:hRule="atLeast"/>
        </w:trPr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Управление бухгалтерского учета, отчетности и обеспечения государственного заказа</w:t>
            </w:r>
          </w:p>
        </w:tc>
      </w:tr>
      <w:tr>
        <w:trPr/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Отдел бухгалтерского учета и отчетности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/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Отдел обеспечения государственного заказа</w:t>
            </w:r>
          </w:p>
        </w:tc>
      </w:tr>
      <w:tr>
        <w:trPr>
          <w:trHeight w:val="262" w:hRule="atLeast"/>
        </w:trPr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Главный специалист</w:t>
            </w:r>
          </w:p>
        </w:tc>
      </w:tr>
      <w:tr>
        <w:trPr/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Отдел мониторинга исполнения бюджетов и управления государственным долгом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/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Отдел казначейского исполнения бюджета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Главный специалист</w:t>
            </w:r>
          </w:p>
        </w:tc>
      </w:tr>
      <w:tr>
        <w:trPr>
          <w:trHeight w:val="300" w:hRule="atLeast"/>
        </w:trPr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Отдел учета денежных обязательств казначейского исполнения бюджета</w:t>
            </w:r>
          </w:p>
        </w:tc>
      </w:tr>
      <w:tr>
        <w:trPr>
          <w:trHeight w:val="345" w:hRule="atLeast"/>
        </w:trPr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>
          <w:trHeight w:val="315" w:hRule="atLeast"/>
        </w:trPr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>
          <w:trHeight w:val="375" w:hRule="atLeast"/>
        </w:trPr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>
          <w:trHeight w:val="273" w:hRule="atLeast"/>
        </w:trPr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Главный специалист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Главный специалист</w:t>
            </w:r>
          </w:p>
        </w:tc>
      </w:tr>
      <w:tr>
        <w:trPr>
          <w:trHeight w:val="360" w:hRule="atLeast"/>
        </w:trPr>
        <w:tc>
          <w:tcPr>
            <w:tcW w:w="985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Отдел финансирования производственной сферы и агропромышленного комплекса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17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19</w:t>
            </w:r>
          </w:p>
        </w:tc>
        <w:tc>
          <w:tcPr>
            <w:tcW w:w="917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Консультант»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7"/>
          <w:szCs w:val="27"/>
        </w:rPr>
        <w:t>__________________________________________</w:t>
      </w:r>
    </w:p>
    <w:sectPr>
      <w:headerReference w:type="default" r:id="rId2"/>
      <w:type w:val="nextPage"/>
      <w:pgSz w:w="11906" w:h="16838"/>
      <w:pgMar w:left="1701" w:right="567" w:header="0" w:top="1134" w:footer="0" w:bottom="993" w:gutter="0"/>
      <w:pgNumType w:fmt="decimal"/>
      <w:formProt w:val="false"/>
      <w:titlePg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26788361"/>
    </w:sdtPr>
    <w:sdtContent>
      <w:p>
        <w:pPr>
          <w:pStyle w:val="Style21"/>
          <w:jc w:val="center"/>
          <w:rPr/>
        </w:pPr>
        <w:r>
          <w:rPr/>
        </w:r>
      </w:p>
      <w:p>
        <w:pPr>
          <w:pStyle w:val="Style21"/>
          <w:jc w:val="center"/>
          <w:rPr/>
        </w:pPr>
        <w:r>
          <w:rPr/>
        </w:r>
      </w:p>
    </w:sdtContent>
  </w:sdt>
  <w:p>
    <w:pPr>
      <w:pStyle w:val="Style21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b299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4d18da"/>
    <w:rPr>
      <w:sz w:val="2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sz w:val="28"/>
      <w:szCs w:val="28"/>
    </w:rPr>
  </w:style>
  <w:style w:type="character" w:styleId="ListLabel3">
    <w:name w:val="ListLabel 3"/>
    <w:qFormat/>
    <w:rPr>
      <w:b w:val="false"/>
      <w:i w:val="false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eb299e"/>
    <w:pPr>
      <w:spacing w:lineRule="auto" w:line="192" w:before="120" w:after="0"/>
    </w:pPr>
    <w:rPr>
      <w:sz w:val="28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qFormat/>
    <w:rsid w:val="00eb299e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eb299e"/>
    <w:pPr>
      <w:spacing w:lineRule="auto" w:line="288"/>
      <w:jc w:val="center"/>
    </w:pPr>
    <w:rPr>
      <w:b/>
      <w:sz w:val="36"/>
    </w:rPr>
  </w:style>
  <w:style w:type="paragraph" w:styleId="Style21">
    <w:name w:val="Header"/>
    <w:basedOn w:val="Normal"/>
    <w:link w:val="a6"/>
    <w:uiPriority w:val="99"/>
    <w:rsid w:val="00eb299e"/>
    <w:pPr>
      <w:tabs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rsid w:val="00eb299e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eb299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f22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4a0754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4a0754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61193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EA434-0B7B-4D52-915E-90CFE25A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Application>LibreOffice/5.1.2.2$Windows_X86_64 LibreOffice_project/d3bf12ecb743fc0d20e0be0c58ca359301eb705f</Application>
  <Pages>2</Pages>
  <Words>163</Words>
  <Characters>1369</Characters>
  <CharactersWithSpaces>1775</CharactersWithSpaces>
  <Paragraphs>61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2019-11-28T15:42:00Z</dcterms:created>
  <dc:creator>Вешкина</dc:creator>
  <dc:description/>
  <dc:language>ru-RU</dc:language>
  <cp:lastModifiedBy/>
  <cp:lastPrinted>2020-03-23T13:12:00Z</cp:lastPrinted>
  <dcterms:modified xsi:type="dcterms:W3CDTF">2020-12-07T10:26:42Z</dcterms:modified>
  <cp:revision>202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