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предоставления разрешения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62:15:0020510:22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Местоположение установлено относительно ориентира, расположенного в границах участка. Почтовый адрес ориентира: обл. Рязанская, р-н Рязанский, д. Березовка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Самохина Григория Борисовича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873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/>
          <w:bCs/>
          <w:sz w:val="26"/>
          <w:szCs w:val="26"/>
          <w:highlight w:val="white"/>
        </w:rPr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Рязанский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Екимовка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86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по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 w:val="false"/>
          <w:bCs w:val="false"/>
          <w:sz w:val="26"/>
          <w:szCs w:val="26"/>
        </w:rPr>
        <w:t>с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>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62:15:0020510:22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Местоположение установлено относительно ориентира, расположенного в границах участка. Почтовый адрес ориентира: обл. Рязанская,</w:t>
        <w:br/>
        <w:t>р-н Рязанский, д. Березовка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LibreOffice/6.4.4.2$Linux_X86_64 LibreOffice_project/40$Build-2</Application>
  <Pages>1</Pages>
  <Words>313</Words>
  <Characters>2370</Characters>
  <CharactersWithSpaces>2718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2021-01-20T14:35:07Z</dcterms:modified>
  <cp:revision>83</cp:revision>
  <dc:subject/>
  <dc:title/>
</cp:coreProperties>
</file>