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color w:val="00000A"/>
          <w:sz w:val="28"/>
          <w:szCs w:val="28"/>
        </w:rPr>
        <w:t>Приложение № 1</w:t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 постановлению</w:t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                            </w:t>
      </w:r>
      <w:r>
        <w:rPr>
          <w:color w:val="00000A"/>
          <w:sz w:val="28"/>
          <w:szCs w:val="28"/>
        </w:rPr>
        <w:t>министерства культуры</w:t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  <w:tab/>
        <w:tab/>
        <w:tab/>
        <w:tab/>
        <w:tab/>
        <w:t xml:space="preserve"> и туризма Рязанской области</w:t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  <w:tab/>
        <w:tab/>
        <w:tab/>
        <w:tab/>
        <w:t>от 12 января  2021г.  № 1</w:t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ConsPlusNormal"/>
        <w:jc w:val="center"/>
        <w:rPr/>
      </w:pPr>
      <w:hyperlink w:anchor="P33"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eastAsia="ru-RU"/>
          </w:rPr>
          <w:t>Перечень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должностей, </w:t>
      </w:r>
    </w:p>
    <w:p>
      <w:pPr>
        <w:pStyle w:val="ConsPlusNormal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относящихся к административно-управленческому персоналу, государственных бюджетных и автономных учреждений, подведомственных министерству культуры и туризма Рязанской области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385" w:type="dxa"/>
        <w:jc w:val="left"/>
        <w:tblInd w:w="9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85"/>
      </w:tblGrid>
      <w:tr>
        <w:trPr>
          <w:trHeight w:val="6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Администратор всех наименований, включая главного, старшего и младшего, по направлениям, не относящимся к основной деятельности.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Архивариус.</w:t>
            </w:r>
          </w:p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Архивист.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Бухгалтер всех категорий, включая ведущего и старшего.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Бухгалтер-кассир, включая ведущего и старшего.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Внутренний аудитор.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Главный архивист.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000000" w:fill="FFFFFF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Главный бухгалтер.</w:t>
            </w:r>
          </w:p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Главный инженер.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000000" w:fill="FFFFFF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Главный механик.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000000" w:fill="FFFFFF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Главный технолог.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000000" w:fill="FFFFFF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Главный энергетик.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000000" w:fill="FFFFFF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Делопроизводитель.</w:t>
            </w:r>
          </w:p>
        </w:tc>
      </w:tr>
      <w:tr>
        <w:trPr>
          <w:trHeight w:val="420" w:hRule="atLeast"/>
        </w:trPr>
        <w:tc>
          <w:tcPr>
            <w:tcW w:w="9385" w:type="dxa"/>
            <w:tcBorders/>
            <w:shd w:color="000000" w:fill="FFFFFF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Документовед всех категорий, по направлениям, не относящимся к основной деятельности.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000000" w:fill="FFFFFF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Заместитель главного бухгалтера.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Заместитель главного инженера.</w:t>
            </w:r>
          </w:p>
        </w:tc>
      </w:tr>
      <w:tr>
        <w:trPr>
          <w:trHeight w:val="405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Заместитель главного механика.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Заместитель главного технолога.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Заместитель главного энергетика.</w:t>
            </w:r>
          </w:p>
        </w:tc>
      </w:tr>
      <w:tr>
        <w:trPr>
          <w:trHeight w:val="6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Заместитель руководителя (заведующего, начальника) структурного подразделения по направлениям, не относящимся к основной деятельности.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Заместитель руководителя, включая первого (директора, заведующего) филиала.</w:t>
            </w:r>
          </w:p>
        </w:tc>
      </w:tr>
      <w:tr>
        <w:trPr>
          <w:trHeight w:val="63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Заместитель руководителя, включая первого (директора, художественного руководителя) учреждения.</w:t>
            </w:r>
          </w:p>
        </w:tc>
      </w:tr>
      <w:tr>
        <w:trPr>
          <w:trHeight w:val="6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Инженер всех наименований и категорий, включая ведущего и старшего, по направлениям, не относящимся к основной деятельности.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Инженер-программист всех категорий, включая ведущего.</w:t>
            </w:r>
          </w:p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Инженер-проектировщик всех категорий, включая ведущего, по направлениям, не относящимся к основной деятельности.</w:t>
            </w:r>
          </w:p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Инженер-технолог (технолог) всех категорий, включая ведущего.</w:t>
            </w:r>
          </w:p>
        </w:tc>
      </w:tr>
      <w:tr>
        <w:trPr>
          <w:trHeight w:val="6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Инженер-электроник всех категорий, включая ведущего, по направлениям, не относящимся к основной деятельности.</w:t>
            </w:r>
          </w:p>
        </w:tc>
      </w:tr>
      <w:tr>
        <w:trPr>
          <w:trHeight w:val="6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Инспектор всех наименований, включая старшего, по направлениям, не относящимся к основной деятельности.</w:t>
            </w:r>
          </w:p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Исполнительный директор (коммерческий, финансовый).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Контент-менеджер.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Контрактный управляющий.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Медиатор.</w:t>
            </w:r>
          </w:p>
        </w:tc>
      </w:tr>
      <w:tr>
        <w:trPr>
          <w:trHeight w:val="6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Менеджер всех наименований, включая старшего, по направлениям, не относящимся к основной деятельности.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Офис-менеджер.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Переводчик всех категорий.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Помощник руководителя.</w:t>
            </w:r>
          </w:p>
        </w:tc>
      </w:tr>
      <w:tr>
        <w:trPr>
          <w:trHeight w:val="6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Программист, включая ведущего и старшего, по направлениям, не относящимся к основной деятельности.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Производитель работ (прораб).</w:t>
            </w:r>
          </w:p>
        </w:tc>
      </w:tr>
      <w:tr>
        <w:trPr>
          <w:trHeight w:val="6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Руководитель (генеральный директор, директор, художественный руководитель) учреждения.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Руководитель (директор, заведующий) филиала, представительства.</w:t>
            </w:r>
          </w:p>
        </w:tc>
      </w:tr>
      <w:tr>
        <w:trPr>
          <w:trHeight w:val="6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Руководитель (заведующий, начальник) структурного подразделения  по направлениям, не относящимся к основной деятельности.</w:t>
            </w:r>
          </w:p>
        </w:tc>
      </w:tr>
      <w:tr>
        <w:trPr>
          <w:trHeight w:val="33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Секретарь руководителя учреждения.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Секретарь-администратор.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Сетевой администратор, включая младшего.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Сетевой инженер.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Системный администратор, включая главного, ведущего, старшего и младшего.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Системный инженер, включая ведущего.</w:t>
            </w:r>
          </w:p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Специалист всех наименований и категорий, включая ведущего, старшего и младшего по направлениям, не относящимся к основной деятельности.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Советник руководителя учреждения.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Социолог.</w:t>
            </w:r>
          </w:p>
        </w:tc>
      </w:tr>
      <w:tr>
        <w:trPr>
          <w:trHeight w:val="6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Специалист всех наименований и категорий, включая ведущего, старшего и младшего по направлениям, не относящимся к основной деятельности.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Управляющий делами.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Ученый секретарь совета учреждения.</w:t>
            </w:r>
          </w:p>
        </w:tc>
      </w:tr>
      <w:tr>
        <w:trPr>
          <w:trHeight w:val="6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Экономист всех наименований и категорий, включая главного, ведущего и старшего по направлениям, не относящимся к основной деятельности.</w:t>
            </w:r>
          </w:p>
        </w:tc>
      </w:tr>
      <w:tr>
        <w:trPr>
          <w:trHeight w:val="600" w:hRule="atLeast"/>
        </w:trPr>
        <w:tc>
          <w:tcPr>
            <w:tcW w:w="9385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Эксперт всех наименований, включая главного, ведущего, старшего и младшего по направлениям, не относящимся к основной деятельности.</w:t>
            </w:r>
          </w:p>
        </w:tc>
      </w:tr>
      <w:tr>
        <w:trPr>
          <w:trHeight w:val="300" w:hRule="atLeast"/>
        </w:trPr>
        <w:tc>
          <w:tcPr>
            <w:tcW w:w="938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Юрисконсульт всех категорий.</w:t>
            </w:r>
          </w:p>
        </w:tc>
      </w:tr>
    </w:tbl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bookmarkStart w:id="0" w:name="_GoBack"/>
      <w:bookmarkEnd w:id="0"/>
      <w:r>
        <w:rPr>
          <w:color w:val="00000A"/>
          <w:sz w:val="28"/>
          <w:szCs w:val="28"/>
        </w:rPr>
        <w:t>Приложение № 2</w:t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  <w:tab/>
        <w:tab/>
        <w:tab/>
        <w:tab/>
        <w:t>к постановлению</w:t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                         </w:t>
      </w:r>
      <w:r>
        <w:rPr>
          <w:color w:val="00000A"/>
          <w:sz w:val="28"/>
          <w:szCs w:val="28"/>
        </w:rPr>
        <w:t>министерства культуры</w:t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  <w:tab/>
        <w:tab/>
        <w:tab/>
        <w:tab/>
        <w:tab/>
        <w:t xml:space="preserve"> и туризма Рязанской области</w:t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  <w:tab/>
        <w:tab/>
        <w:tab/>
        <w:tab/>
        <w:t>от 12 января 2021г.  № 1</w:t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ConsPlusNormal"/>
        <w:jc w:val="center"/>
        <w:rPr/>
      </w:pPr>
      <w:hyperlink w:anchor="P69"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eastAsia="ru-RU"/>
          </w:rPr>
          <w:t>Перечень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должностей и профессий, </w:t>
      </w:r>
    </w:p>
    <w:p>
      <w:pPr>
        <w:pStyle w:val="ConsPlusNormal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относящихся к вспомогательному персоналу, </w:t>
      </w:r>
    </w:p>
    <w:p>
      <w:pPr>
        <w:pStyle w:val="ConsPlusNormal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государственных бюджетных и автономных учреждений,</w:t>
      </w:r>
    </w:p>
    <w:p>
      <w:pPr>
        <w:pStyle w:val="ConsPlusNormal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подведомственных министерству культуры и туризма </w:t>
      </w:r>
    </w:p>
    <w:p>
      <w:pPr>
        <w:pStyle w:val="ConsPlusNormal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Рязанской области</w:t>
      </w:r>
    </w:p>
    <w:p>
      <w:pPr>
        <w:pStyle w:val="ConsPlusNormal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Автомеханик.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Агент всех наименований.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Аккумуляторщик.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Аппаратчик всех наименований.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Буфетчик. 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Водитель транспортного средства (автобуса, грузового автомобиля, легкового автомобиля, погрузчика, электромобиля и других видов транспорта).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Гардеробщик.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Гладильщик.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Грузчик.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Дворник.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Дежурный всех наименований.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Диспетчер, включая главного.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Инкассатор.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Калькулятор.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Кассир.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Киоскер.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Кладовщик.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Комендант.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Красильщик всех наименований по направлениям, не относящимся к основной деятельности.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Кровельщик всех наименований.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Курьер.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Лифтер.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Маляр всех категорий, по направлениям, не относящимся к основной деятельности.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Мастер всех наименований, включая старшего, по направлениям, не относящимся к основной деятельности.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Машинист всех наименований, включая старшего, по направлениям, не относящимся к основной деятельности.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Механик всех наименований, включая главного, по направлениям, не относящимся к основной деятельности.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Мойщик всех наименований.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Монтажник санитарно-технических систем и оборудования.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Наладчик всех наименований.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Обойщик-набивщик.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Оператор всех наименований по направлениям, не относящимся к основной деятельности.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Плотник.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Подсобный рабочий.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Пожарный.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Рабочий всех наименований по направлениям, не относящимся к основной деятельности.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Сварщик всех наименований.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Слесарь всех наименований по направлениям, не относящимся к основной деятельности.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Сотрудник службы безопасности, включая главного и ведущего.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Столяр всех наименований по направлениям, не относящимся к основной деятельности.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Сторож (вахтер).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Табельщик.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Техник всех наименований и категорий по направлениям, не относящимся к основной деятельности.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Техник-технолог всех категорий.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Техник-энергетик всех категорий.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Уборщик служебных (производственных) помещений, территорий.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Штукатур.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Экспедитор.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Электросварщик. 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Электрогазосварщик.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Электромеханик всех наименований.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Электромонтер всех наименований.</w:t>
      </w:r>
    </w:p>
    <w:p>
      <w:pPr>
        <w:pStyle w:val="Normal"/>
        <w:ind w:left="5040" w:firstLine="720"/>
        <w:jc w:val="right"/>
        <w:rPr/>
      </w:pPr>
      <w:r>
        <w:rPr/>
      </w:r>
    </w:p>
    <w:sectPr>
      <w:type w:val="nextPage"/>
      <w:pgSz w:w="11906" w:h="16838"/>
      <w:pgMar w:left="1531" w:right="851" w:header="0" w:top="907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2b3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qFormat/>
    <w:rsid w:val="00752b38"/>
    <w:pPr>
      <w:keepNext/>
      <w:outlineLvl w:val="0"/>
    </w:pPr>
    <w:rPr>
      <w:b/>
      <w:color w:val="00000A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52b3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752b38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Style14" w:customStyle="1">
    <w:name w:val="Гипертекстовая ссылка"/>
    <w:uiPriority w:val="99"/>
    <w:qFormat/>
    <w:rsid w:val="00752b38"/>
    <w:rPr>
      <w:b/>
      <w:color w:val="008000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eastAsia="Calibri"/>
      <w:color w:val="00000A"/>
    </w:rPr>
  </w:style>
  <w:style w:type="character" w:styleId="ListLabel21">
    <w:name w:val="ListLabel 21"/>
    <w:qFormat/>
    <w:rPr>
      <w:rFonts w:eastAsia="Times New Roman" w:cs="Times New Roman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eastAsia="Times New Roman" w:cs="Times New Roman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eastAsia="Times New Roman" w:cs="Times New Roman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Times New Roman" w:cs="Times New Roman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eastAsia="Times New Roman" w:cs="Times New Roman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752b3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752b38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333055"/>
    <w:pPr>
      <w:widowControl/>
      <w:bidi w:val="0"/>
      <w:spacing w:lineRule="auto" w:line="240" w:before="0" w:after="0"/>
      <w:jc w:val="left"/>
    </w:pPr>
    <w:rPr>
      <w:rFonts w:ascii="Arial" w:hAnsi="Arial" w:cs="Arial" w:eastAsia="Calibri" w:eastAsiaTheme="minorHAnsi"/>
      <w:color w:val="auto"/>
      <w:sz w:val="20"/>
      <w:szCs w:val="20"/>
      <w:lang w:val="ru-RU" w:eastAsia="en-US" w:bidi="ar-SA"/>
    </w:rPr>
  </w:style>
  <w:style w:type="paragraph" w:styleId="ConsPlusTitle" w:customStyle="1">
    <w:name w:val="ConsPlusTitle"/>
    <w:qFormat/>
    <w:rsid w:val="0050121f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4"/>
      <w:szCs w:val="20"/>
      <w:lang w:eastAsia="ru-RU" w:val="ru-RU" w:bidi="ar-SA"/>
    </w:rPr>
  </w:style>
  <w:style w:type="paragraph" w:styleId="Style21">
    <w:name w:val="Содержимое таблицы"/>
    <w:basedOn w:val="Normal"/>
    <w:qFormat/>
    <w:pPr/>
    <w:rPr/>
  </w:style>
  <w:style w:type="paragraph" w:styleId="Style22">
    <w:name w:val="Заголовок таблицы"/>
    <w:basedOn w:val="Style2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40e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B76A6-3216-46DE-97C8-353AB915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LibreOffice/5.1.2.2$Windows_X86_64 LibreOffice_project/d3bf12ecb743fc0d20e0be0c58ca359301eb705f</Application>
  <Pages>4</Pages>
  <Words>601</Words>
  <Characters>4965</Characters>
  <CharactersWithSpaces>5669</CharactersWithSpaces>
  <Paragraphs>124</Paragraphs>
  <Company>STDPC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2020-12-28T05:45:00Z</dcterms:created>
  <dc:creator>STD</dc:creator>
  <dc:description/>
  <dc:language>ru-RU</dc:language>
  <cp:lastModifiedBy/>
  <cp:lastPrinted>2020-12-28T06:49:00Z</cp:lastPrinted>
  <dcterms:modified xsi:type="dcterms:W3CDTF">2021-01-15T16:49:14Z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STDPC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