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ind w:left="5103" w:hanging="0"/>
        <w:jc w:val="both"/>
        <w:outlineLvl w:val="0"/>
        <w:rPr/>
      </w:pPr>
      <w:r>
        <w:rPr>
          <w:rFonts w:cs="Times New Roman" w:ascii="Times New Roman" w:hAnsi="Times New Roman"/>
          <w:sz w:val="28"/>
          <w:szCs w:val="28"/>
        </w:rPr>
        <w:t>Приложение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103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постановлению министерства труда и социальной защиты населения Рязанской области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103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19 февраля 2021 г.  № 11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5103" w:hanging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ПОРЯДОК</w:t>
      </w:r>
    </w:p>
    <w:p>
      <w:pPr>
        <w:pStyle w:val="ConsPlus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определения объема и условия предоставления </w:t>
        <w:br/>
        <w:t>из областного бюджета государственному автономному учреждению дополнительного профессионального образования Учебный центр министерства труда и социальной защиты населения Рязанской области,               в отношении которого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мероприятия, предусмотренного пунктом 1.6 программных мероприятий подпрограммы 7 «Содействие реализации трудового потенциала лиц предпенсионного возраста» государственной программы Рязанской области «О развитии сферы занятости», утвержденной постановлением Правительства Рязанской области от 29.10.2014 № 309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Настоящий Порядок регламентирует механизм определения объема и условия предоставления государственному автономному учреждению дополнительного профессионального образования Учебный центр министерства труда и социальной защиты населения Рязанской области,                  в отношении которого министерство труда и социальной защиты населения Рязанской области осуществляет отдельные функции и полномочия учредителя,  субсидий на иные цели на реализацию мероприятия, предусмотренного пунктом 1.6 программных мероприятий подпрограммы 7 «Содействие реализации трудового потенциала лиц предпенсионного возраста» государственной программы Рязанской области «О развитии сферы занятости», утвержденной постановлением Правительства Рязанской области от 29.10.2014 № 309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(далее – субсидии, подпрограмма).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В соответствии с настоящим Порядком субсидии предоставляются на цели организации участия граждан старше 50 лет в региональном чемпионате профессионального мастерства по стандартам Ворлдскиллс для людей старше 50 лет «Навыки мудрых» (далее – чемпионат «Навыки мудрых»), в рамках реализации регионального проекта «Разработка и реализация программы системной поддержки и повышения качества жизни граждан старшего поколения (Рязанская область)», направленного на достижение результатов реализации федерального проекта «Старшее поколение» национального проекта «Демография».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2"/>
      <w:bookmarkStart w:id="1" w:name="Par14"/>
      <w:bookmarkEnd w:id="0"/>
      <w:bookmarkEnd w:id="1"/>
      <w:r>
        <w:rPr>
          <w:rFonts w:cs="Times New Roman" w:ascii="Times New Roman" w:hAnsi="Times New Roman"/>
          <w:sz w:val="28"/>
          <w:szCs w:val="28"/>
        </w:rPr>
        <w:t xml:space="preserve">3. Центральным исполнительным органом государственной власти Рязанской области, осуществляющим функции и полномочия учредителя </w:t>
        <w:br/>
        <w:t>в отношении  государственного автономного учреждения дополнительного профессионального образования Учебный центр министерства труда и социальной защиты населения Рязанской области – получателя субсидии   (далее – Учреждение) является министерство труда и социальной защиты населения Рязанской области (далее – Министерство), до которого в соответствии с бюджетным законодательством 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Субсидия предоставляется при соблюдении следующих условий: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решения Министерства о распределении средств Учреждению на реализацию мероприятий, включенных в подпрограмму;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соответствие Учреждения на 1-е число месяца, предшествующего месяцу, в котором планируется принятие решения о предоставлении субсидии, следующим требованиям: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отсутствие у Учреждения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отсутствие у Учреждения просроченной задолженности по возврату </w:t>
        <w:br/>
        <w:t xml:space="preserve">в бюджет Рязанской области субсидий, за исключением случаев предоставления субсидии на осуществление мероприятий </w:t>
        <w:br/>
        <w:t>по предотвращению аварийной (чрезвычайной) ситуации, ликвидации последствий и осуществление восстановительных работ в случае наступления аварийной (чрезвычайной) ситуации;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отсутствие у Учреждения обязанности по погашению задолженности по судебным актам, вступившим в законную силу, исполнительным документам;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обязательства Учреждения о достижении результата предоставления субсидии и показателей, необходимых для достижения результата предоставления субсидии;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наличие обязательства Учреждения о предоставлении в Министерство в соответствии с пунктом 14 настоящего Порядка отчета о достижении результата предоставления субсидии и показателя, необходимого для достижения результата предоставления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5. Результатом предоставления субсидии является организация проведения ежегодно одного чемпионата «Навыки мудрых».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Показателем, необходимым для достижения результата предоставления субсидии, является количество победителей чемпионата «Навыки мудрых».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6. Для получения субсидий Учреждение представляет в Министерство заявку в произвольной форме, подписанную руководителем и главным бухгалтером Учреждения, с приложением финансово-экономического обоснования, сформированного в соответствии с пунктом 7 настоящего Порядка (далее – заявка).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Заявка регистрируется в день ее поступления в Министерство</w:t>
        <w:br/>
        <w:t xml:space="preserve">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3"/>
      <w:bookmarkEnd w:id="2"/>
      <w:r>
        <w:rPr>
          <w:rFonts w:cs="Times New Roman" w:ascii="Times New Roman" w:hAnsi="Times New Roman"/>
          <w:sz w:val="28"/>
          <w:szCs w:val="28"/>
        </w:rPr>
        <w:t>7. Финансово-экономическое обоснование должно содержать: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4"/>
      <w:bookmarkEnd w:id="3"/>
      <w:r>
        <w:rPr>
          <w:rFonts w:cs="Times New Roman" w:ascii="Times New Roman" w:hAnsi="Times New Roman"/>
          <w:sz w:val="28"/>
          <w:szCs w:val="28"/>
        </w:rPr>
        <w:t>пояснительную записку в произвольной форме, содержащую обоснование необходимости предоставления бюджетных средств на цели, указанные в пункте 2 настоящего Порядка, включая расчет-обоснование суммы субсидии, в том числе предварительную смету на выполнение соответствующих работ (оказание услуг), проведение мероприятий, приобретение имущества (за исключением недвижимого имущества), а также предложения поставщиков (подрядчиков, исполнителей), статистические данные;</w:t>
      </w:r>
    </w:p>
    <w:p>
      <w:pPr>
        <w:pStyle w:val="Normal"/>
        <w:spacing w:lineRule="auto" w:line="240" w:before="0"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 планируемых к приобретению материалах (расходные материалы по каждой компетенции, форма участников и экспертов, медали, призы, информационные баннеры, и другое);</w:t>
      </w:r>
    </w:p>
    <w:p>
      <w:pPr>
        <w:pStyle w:val="Normal"/>
        <w:spacing w:lineRule="auto" w:line="240" w:before="0"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перечень арендованных помещений (при необходимости), предварительную смету расходов;  </w:t>
      </w:r>
    </w:p>
    <w:p>
      <w:pPr>
        <w:pStyle w:val="Normal"/>
        <w:spacing w:lineRule="auto" w:line="240" w:before="0" w:after="0"/>
        <w:ind w:left="-142"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информацию о предполагаемых исполнителях и стоимости услуг (повышение квалификации сотрудников в целях проведения чемпионата «Навыки мудрых» либо привлечение иных квалифицированных в данной области экспертов);</w:t>
      </w:r>
    </w:p>
    <w:p>
      <w:pPr>
        <w:pStyle w:val="Normal"/>
        <w:spacing w:lineRule="auto" w:line="240" w:before="0" w:after="0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программу мероприятий чемпионата «Навыки мудрых».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8. Министерство в течение 10 рабочих дней со дня регистрации заявки осуществляет проверку полноты представленных документов, достоверности и документальной обоснованности содержащейся в них информации, целей и условий предоставления субсидии и принимает решение в форме приказа о предоставлении субсидии и дальнейшем заключении соглашения о предоставлении субсидии (далее – Соглашение) либо об отказе в предоставлении субсидии с письменным уведомлением Учреждения о принятом решении с указанием причин отказа.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принятом решении Министерство в письменной форме заказным почтовым отправлением с уведомлением о вручении информирует Учреждение в течение 5 рабочих дней со дня завершения проверки заявки с приложенными документами, предоставленными Учреждением.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случае отказа в предоставлении субсидии повторная заявка предоставляется Учреждением и рассматривается Министерством в порядке, установленном пунктами 6-8 настоящего Порядка, при условии устранения причин, послуживших основанием для принятия решения об отказе в предоставлении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9. Основанием для отказа Учреждению в предоставлении субсидии является: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несоответствие представленных Учреждением документов требованиям, определенным в соответствии с пунктами 6-7 настоящего Порядка, или непредставление (представление не в полном объеме) указанных документов;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недостоверность информации, содержащейся в документах, представленных Учреждением;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отсутствие бюджетных ассигнований, предусмотренных на предоставление субсидий, в бюджете Рязанской области;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несоответствие целей и условий предоставления субсидии, указанных </w:t>
        <w:br/>
        <w:t xml:space="preserve">в финансово-экономическом обосновании, целям и условиям предоставления субсидии, указанным в </w:t>
      </w:r>
      <w:hyperlink r:id="rId2">
        <w:r>
          <w:rPr>
            <w:rStyle w:val="Style17"/>
            <w:rFonts w:cs="Times New Roman" w:ascii="Times New Roman" w:hAnsi="Times New Roman"/>
            <w:sz w:val="28"/>
            <w:szCs w:val="28"/>
          </w:rPr>
          <w:t>пунктах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2, 4 настоящего Порядка.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10. Предоставление субсидий осуществляется Министерством в соответствии с бюджетной росписью в пределах бюджетных ассигнований, предусмотренных Министерству на указанные цели в областном бюджете Рязанской области на текущий финансовый год.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11. Основанием для заключения Соглашения между Министерством и Учреждением является решение министерства в форме приказа о предоставлении субсидии.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Предоставление субсидии осуществляется в соответствии </w:t>
        <w:br/>
        <w:t xml:space="preserve">с Соглашением, заключаемым между Министерством и Учреждением </w:t>
        <w:br/>
        <w:t xml:space="preserve">в соответствии с типовой </w:t>
      </w:r>
      <w:hyperlink r:id="rId3">
        <w:r>
          <w:rPr>
            <w:rStyle w:val="Style17"/>
            <w:rFonts w:cs="Times New Roman" w:ascii="Times New Roman" w:hAnsi="Times New Roman"/>
            <w:sz w:val="28"/>
            <w:szCs w:val="28"/>
          </w:rPr>
          <w:t>формой</w:t>
        </w:r>
      </w:hyperlink>
      <w:r>
        <w:rPr>
          <w:rFonts w:cs="Times New Roman" w:ascii="Times New Roman" w:hAnsi="Times New Roman"/>
          <w:sz w:val="28"/>
          <w:szCs w:val="28"/>
        </w:rPr>
        <w:t>, утвержденной нормативным правовым актом министерства финансов Рязанской области, в течение 5 рабочих дней со дня принятия решения о предоставлении субсидии.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12.</w:t>
      </w:r>
      <w:bookmarkStart w:id="4" w:name="P82"/>
      <w:bookmarkEnd w:id="4"/>
      <w:r>
        <w:rPr>
          <w:rFonts w:cs="Times New Roman" w:ascii="Times New Roman" w:hAnsi="Times New Roman"/>
          <w:sz w:val="28"/>
          <w:szCs w:val="28"/>
        </w:rPr>
        <w:t> Размер субсидии определяется Министерством на основании финансово-экономического обоснования, подготовленного Учреждением в соответствии с пунктом 7 настоящего Порядка в объеме, не превышающем размер, определенный подпрограммой.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13. Перечисление субсидии осуществляется Министерством на лицевой счет, открытый Учреждению в территориальном органе Федерального казначейства для учета операций с субсидией,  согласно графику перечисления субсидии, устанавливаемому в Соглашении.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14. Учреждение ежеквартально до 15 числа месяца, следующего                      за отчетным кварталом, представляет в Министерство с сопроводительным письмом </w:t>
      </w:r>
      <w:hyperlink r:id="rId4">
        <w:r>
          <w:rPr>
            <w:rStyle w:val="Style17"/>
            <w:rFonts w:cs="Times New Roman" w:ascii="Times New Roman" w:hAnsi="Times New Roman"/>
            <w:sz w:val="28"/>
            <w:szCs w:val="28"/>
          </w:rPr>
          <w:t>отчет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об осуществлении расходов, источником финансового обеспечения которых является субсидия, по форме согласно приложению № 1 к  настоящему Порядку (далее – Отчет 1).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1 представляется в Министерство руководителем Учреждения либо иным уполномоченным представителем Учреждения лично, либо посредством почтовой связи.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о достижении результата предоставления субсидии и показателя, необходимого для достижения результата предоставления субсидии                      (далее – Отчет 2) представляется Учреждением до 15 числа месяца, следующего за месяцем, в котором был проведен чемпионат «Навыки мудрых» по форме согласно приложению № 2 к  настоящему Порядку.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Отчет 1, Отчет 2 регистрируются в день их поступления в Министерство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15. Министерство осуществляет обязательную проверку достижения Учреждением результата предоставления субсидии и показателя, необходимого для достижения результата предоставления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Проверка достижения Учреждением результата предоставления субсидии и показателя, необходимого для достижения результата предоставления субсидии, проводится на основании Отчета 2 в течение 3 рабочих дней с даты его регистрации.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министерством). Копия акта о проведении проверки в течение 3 рабочих дней, следующих за днем его подписания уполномоченным должностным лицом министерства, направляется Учреждению заказным почтовым отправлением с уведомлением о вручении.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установления факта недостижения Учреждением результата предоставления субсидии и показателя, необходимого для достижения результата предоставления субсидии, установленных Соглашением, субсидия подлежит возврату в областной бюджет на основании требования Министерства в течение 30 календарных дней со дня его получения на указанный в нем расчетный счет.               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16. В соответствии с решением Министерства о наличии потребности в направлении не использованных в текущем финансовом году остатков средств субсидии на достижение целей, установленных при предоставлении субсидии, остатки субсидии могут быть использованы Учреждением в очередном финансовом году.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Учреждение в срок до 15 января очередного финансового года представляет в Министерство заявление о направлении не использованных </w:t>
        <w:br/>
        <w:t xml:space="preserve">на 1 января очередного финансового года остатков средств субсидии </w:t>
        <w:br/>
        <w:t xml:space="preserve">на достижение целей, установленных при предоставлении субсидии, </w:t>
        <w:br/>
        <w:t>в свободной форме (далее - заявление).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Одновременно с заявлением Учреждение предоставляет пояснительную записку, которая должна содержать причины образования остатка не использованной на начало очередного финансового года субсидии на цель предоставления субсидии и обоснование потребности Учреждения в остатке субсидии в очередном финансовом году на цель ее предоставления, информацию о наличии у Учреждения неиспользованных обязательств, источником финансового обеспечения которых является не использованные на 1 января текущего финансового года остатки субсидии и (или) средств от возврата ранее произведенных учреждениями выплат, с приложением документов, подтверждающих факты, изложенные в ней, в том числе наличие и объем указанных обязательств Учреждения (за исключением обстоятельств по выплатам физическим лицам).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расходам на закупку товаров, работ и услуг решение о потребности может быть принято в объеме принятых и не исполненных на 1 января очередного финансового года денежных обязательств Учреждения по контрактам (договорам) на поставку товаров, выполнение работ, оказание услуг, заключенным в текущем финансовом году, и (или) в объеме финансового обеспечения для осуществления закупок товаров, работ, услуг для нужд государственных учреждений, начатых и не завершенных в текущем финансовом году при условии размещения извещения об осуществлении закупки в единой информационной системе в сфере закупок не позднее                        1 января очередного финансового года.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Заявление регистрируется в день поступления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рассматривает поступившие заявление и пояснительную записку в срок, не превышающий 10 рабочих дней с даты регистрации заявления, и принимает решение в форме приказа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 наличии (или отсутствии) потребности в направлении не использованных на 1 января очередного финансового года остатков средств субсидии на достижение целей, установленных при предоставлении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Решение в форме приказа о наличии (или отсутствии) потребности в направлении не использованных на 1 января очередного финансового года остатков средств субсидий на достижение целей, установленных при предоставлении субсидии, принимается Министерством при предоставлении Учреждением всех необходимых в соответствии с настоящим пунктом документов и при соблюдении требований абзаца второго настоящего пункта.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 письменно в срок, не превышающий 5 рабочих дней с даты принятия решения, уведомляет Учреждение о принятом решении.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 использованные в текущем финансовом году остатки субсидии, указанные в настоящем пункте, по которым отсутствует решение Министерства о потребности, подлежат перечислению Учреждением в бюджет Рязанской области в срок, установленный Соглашением.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17. Министерство принимает решение в форме приказа об 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 для достижения целей, установленных при предоставлении субсидии.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Учреждение не позднее 3 рабочих дней со дня поступления  в текущем финансовом году средств по ранее произведенным Учреждением выплатам, источником финансового обеспечения которых является субсидия для достижения целей, установленных при предоставлении субсидии, направляет в Министерство пояснительную записку, которая должна содержать причину возврата указанных выплат, информацию о наличии у Учреждения неиспользованных обязательств, источником финансового обеспечения которых является не использованные на 1 января текущего финансового года остатки субсидии и (или) средств от возврата ранее произведенных учреждениями выплат, с приложением документов, подтверждающих факты, изложенные в ней, в том числе наличие и объем указанных обязательств Учреждения (за исключением обстоятельств по выплатам физическим лицам) и необходимость их дальнейшего использования.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Пояснительная записка регистрируется в день поступления в журнале входящей корреспонденции с указанием даты поступления.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рассматривает поступившую пояснительную записку в срок, не превышающий 10 рабочих дней  с даты регистрации, и принимает решение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об</w:t>
      </w:r>
      <w:r>
        <w:rPr/>
        <w:t xml:space="preserve"> </w:t>
      </w:r>
      <w:r>
        <w:rPr>
          <w:rFonts w:cs="Times New Roman" w:ascii="Times New Roman" w:hAnsi="Times New Roman"/>
          <w:sz w:val="28"/>
          <w:szCs w:val="28"/>
        </w:rPr>
        <w:t>использовании в текущем финансовом году поступлений от возврата ранее произведенных Учреждением выплат, источником финансового обеспечения которых является субсидия, для достижения целей, установленных при предоставлении субсидии, в случае поступления средств от возврата дебиторской задолженности: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изменением условий или расторжением в соответствии с гражданским законодательством Российской Федерации ранее заключенных Учреждениями контрактов (договоров), в том числе в связи с введением процедур, применяемых в деле о несостоятельности (банкротстве) поставщика (подрядчика, исполнителя);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реализацией требований обеспечения исполнения заключенных Учреждениями контрактов (договоров);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возвратом в соответствии с законодательством Российской Федерации о налогах и сборах излишне уплаченных сумм налогов, сборов, страховых взносов, пеней, штрафов и процентов;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связи с возвратом  в текущем финансовом году отклоненного кредитной организацией платежа Учреждения отчетного финансового года (в том числе по причине неверного указания реквизитов платежа).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Министерство письменно в срок, не превышающий 5 рабочих дней с даты принятия решения, уведомляет Учреждение о принятом решении.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18. Министерство осуществляет обязательную проверку соблюдения Учреждением целей и условий предоставления субсидии в соответствии с настоящим Порядком и Соглашением 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Проверка соблюдения Учреждением целей и условий предоставления субсидии проводится на основании Отчета 1 в течение 5 рабочих дней с даты его регистрации.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проведения проверки Министерство издает правовой акт, в котором указываются: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дата начала и окончания проверки;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наименование Учреждения;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цель и предмет проведения проверки;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Результаты проведенной проверки отражаются в акте о проведении проверки (по форме, утвержденной министерством). Копия акта о проведении проверки в течение 3 рабочих дней, следующих за днем его подписания уполномоченным должностным лицом министерства, направляется Учреждению заказным почтовым отправлением с уведомлением о вручении.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Органы государственного финансового контроля осуществляют обязательную проверку соблюдения Учреждением целей, условий и порядка предоставления субсидии в рамках государственного финансового контроля.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19. В случае установления по итогам проверок, проведенных Министерством и (или) органами государственного финансового контроля, фактов нарушения целей и условий предоставления субсидии соответствующие средства подлежат возврату в  областной бюджет: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основании требования Министерства – в течение 30 календарных дней со дня получения требования на указанный в нем расчетный счет;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на основании представления и (или) предписания соответствующего органа государственного финансового контроля – в сроки, установленные </w:t>
        <w:br/>
        <w:t>в соответствии с бюджетным законодательством Российской Федерации.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20. Министерство в течение 5 рабочих дней с даты установления фактов нарушения целей и условий предоставления субсидии, а также недостижения результата  предоставления субсидии, направляет Учреждению письменное требование заказным почтовым отправлением с уведомлением о вручении о необходимости возврата полученной субсидии в течение 30 календарных дней со дня получения такого требования на указанный в нем расчетный счет.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В случае невыполнения Учреждением в установленный срок требования о возврате субсидии Министерство в течение 3 месяцев со дня истечения установленного для возврата срока обращается в суд с иском о взыскании неправомерно полученной и невозвращенной субсидии. </w:t>
      </w:r>
    </w:p>
    <w:p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21. Ответственность за достоверность данных в документах, являющихся основанием для предоставления субсидии, несет получатель субсидии.</w:t>
      </w:r>
    </w:p>
    <w:p>
      <w:pPr>
        <w:pStyle w:val="ConsPlusNormal"/>
        <w:spacing w:lineRule="auto" w:line="27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76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ind w:left="3969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Приложение № 1</w:t>
      </w:r>
    </w:p>
    <w:p>
      <w:pPr>
        <w:pStyle w:val="Normal"/>
        <w:spacing w:lineRule="auto" w:line="228" w:before="0" w:after="0"/>
        <w:ind w:left="3969" w:hanging="0"/>
        <w:rPr/>
      </w:pPr>
      <w:r>
        <w:rPr>
          <w:rFonts w:ascii="Times New Roman" w:hAnsi="Times New Roman"/>
          <w:sz w:val="27"/>
          <w:szCs w:val="27"/>
        </w:rPr>
        <w:t xml:space="preserve">к Порядку </w:t>
      </w:r>
      <w:r>
        <w:rPr>
          <w:rFonts w:cs="Times New Roman" w:ascii="Times New Roman" w:hAnsi="Times New Roman"/>
          <w:sz w:val="27"/>
          <w:szCs w:val="27"/>
        </w:rPr>
        <w:t xml:space="preserve">определения объема и условия предоставления государственному автономному учреждению дополнительного профессионального образования Учебный центр министерства труда и социальной защиты населения Рязанской области,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5">
        <w:r>
          <w:rPr>
            <w:rStyle w:val="Style17"/>
            <w:rFonts w:cs="Times New Roman" w:ascii="Times New Roman" w:hAnsi="Times New Roman"/>
            <w:sz w:val="27"/>
            <w:szCs w:val="27"/>
          </w:rPr>
          <w:t>абзацем вторым пункта 1 статьи 78.1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Бюджетного кодекса Российской Федерации на реализацию мероприятия, предусмотренного пунктом 1.6 программных мероприятий подпрограммы 7 «Содействие реализации трудового потенциала лиц предпенсионного возраста» государственной программы Рязанской области «О развитии сферы занятости», утвержденной постановлением Правительства Рязанской области от 29.10.2014 № 309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расходах, источником финансового обеспечения которых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является субсидия на иные цели: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субсидии)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учреждения)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______________ _____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 xml:space="preserve">                         </w:t>
      </w:r>
      <w:r>
        <w:rPr>
          <w:rFonts w:cs="Times New Roman" w:ascii="Times New Roman" w:hAnsi="Times New Roman"/>
        </w:rPr>
        <w:t>(рублей)</w:t>
      </w:r>
    </w:p>
    <w:tbl>
      <w:tblPr>
        <w:tblW w:w="984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488"/>
        <w:gridCol w:w="1559"/>
        <w:gridCol w:w="1701"/>
        <w:gridCol w:w="1465"/>
        <w:gridCol w:w="2078"/>
        <w:gridCol w:w="1275"/>
        <w:gridCol w:w="1276"/>
      </w:tblGrid>
      <w:tr>
        <w:trPr/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Направление расходования средств субсидии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субсидии в соответствии с Соглашением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Объем принятых денежных обязательств</w:t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Кассовые расходы (источником финансового обеспечения которых является субсидия)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Отклонение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(графа 3 - графу 5)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Причины отклонений 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165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учреждения        _______________________ Ф.И.О.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Главный бухгалтер _______________________ Ф.И.О.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М.П.</w:t>
      </w:r>
    </w:p>
    <w:p>
      <w:pPr>
        <w:pStyle w:val="Normal"/>
        <w:ind w:left="3969" w:hanging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Приложение № 2</w:t>
      </w:r>
    </w:p>
    <w:p>
      <w:pPr>
        <w:pStyle w:val="Normal"/>
        <w:spacing w:lineRule="auto" w:line="228" w:before="0" w:after="0"/>
        <w:ind w:left="3969" w:hanging="0"/>
        <w:rPr/>
      </w:pPr>
      <w:r>
        <w:rPr>
          <w:rFonts w:ascii="Times New Roman" w:hAnsi="Times New Roman"/>
          <w:sz w:val="27"/>
          <w:szCs w:val="27"/>
        </w:rPr>
        <w:t xml:space="preserve">к Порядку </w:t>
      </w:r>
      <w:r>
        <w:rPr>
          <w:rFonts w:cs="Times New Roman" w:ascii="Times New Roman" w:hAnsi="Times New Roman"/>
          <w:sz w:val="27"/>
          <w:szCs w:val="27"/>
        </w:rPr>
        <w:t xml:space="preserve">определения объема и условия предоставления государственному автономному учреждению дополнительного профессионального образования Учебный центр министерства труда и социальной защиты населения Рязанской области,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6">
        <w:r>
          <w:rPr>
            <w:rStyle w:val="Style17"/>
            <w:rFonts w:cs="Times New Roman" w:ascii="Times New Roman" w:hAnsi="Times New Roman"/>
            <w:sz w:val="27"/>
            <w:szCs w:val="27"/>
          </w:rPr>
          <w:t>абзацем вторым пункта 1 статьи 78.1</w:t>
        </w:r>
      </w:hyperlink>
      <w:r>
        <w:rPr>
          <w:rFonts w:cs="Times New Roman" w:ascii="Times New Roman" w:hAnsi="Times New Roman"/>
          <w:sz w:val="27"/>
          <w:szCs w:val="27"/>
        </w:rPr>
        <w:t xml:space="preserve"> Бюджетного кодекса Российской Федерации на реализацию мероприятия, предусмотренного пунктом 1.6 программных мероприятий подпрограммы 7 «Содействие реализации трудового потенциала лиц предпенсионного возраста» государственной программы Рязанской области «О развитии сферы занятости», утвержденной постановлением Правительства Рязанской области от 29.10.2014 № 309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ОТЧЕТ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 достижении результата предоставления субсидии и показателя, необходимого для достижения результата предоставления субсидии: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субсидии)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(наименование учреждения)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 ______________ _____ года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</w:rPr>
        <w:t xml:space="preserve">                         </w:t>
      </w:r>
    </w:p>
    <w:tbl>
      <w:tblPr>
        <w:tblW w:w="984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02" w:type="dxa"/>
          <w:left w:w="57" w:type="dxa"/>
          <w:bottom w:w="102" w:type="dxa"/>
          <w:right w:w="62" w:type="dxa"/>
        </w:tblCellMar>
        <w:tblLook w:val="0000"/>
      </w:tblPr>
      <w:tblGrid>
        <w:gridCol w:w="488"/>
        <w:gridCol w:w="1559"/>
        <w:gridCol w:w="1701"/>
        <w:gridCol w:w="1465"/>
        <w:gridCol w:w="2078"/>
        <w:gridCol w:w="1275"/>
        <w:gridCol w:w="1276"/>
      </w:tblGrid>
      <w:tr>
        <w:trPr/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№ </w:t>
            </w: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Плановый результат предоставления субсидии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Фактический результат предоставления субсидии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Планируемое количество победителей чемпионата «Навыки мудрых»</w:t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Фактическое количество победителей чемпионата «Навыки мудрых»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Отклонение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Причины отклонений</w:t>
            </w:r>
          </w:p>
        </w:tc>
      </w:tr>
      <w:tr>
        <w:trPr>
          <w:trHeight w:val="255" w:hRule="atLeast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</w:t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</w:t>
            </w:r>
          </w:p>
        </w:tc>
      </w:tr>
      <w:tr>
        <w:trPr>
          <w:trHeight w:val="225" w:hRule="atLeast"/>
        </w:trPr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165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57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Руководитель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учреждения        _______________________ Ф.И.О.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Дата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both"/>
        <w:outlineLvl w:val="0"/>
        <w:rPr/>
      </w:pPr>
      <w:r>
        <w:rPr>
          <w:rFonts w:cs="Times New Roman" w:ascii="Times New Roman" w:hAnsi="Times New Roman"/>
          <w:sz w:val="24"/>
          <w:szCs w:val="24"/>
        </w:rPr>
        <w:t>М.П.</w:t>
      </w:r>
    </w:p>
    <w:sectPr>
      <w:headerReference w:type="default" r:id="rId7"/>
      <w:type w:val="nextPage"/>
      <w:pgSz w:w="11906" w:h="16838"/>
      <w:pgMar w:left="1701" w:right="567" w:header="0" w:top="851" w:footer="0" w:bottom="709" w:gutter="0"/>
      <w:pgNumType w:fmt="decimal"/>
      <w:formProt w:val="false"/>
      <w:titlePg/>
      <w:textDirection w:val="lrTb"/>
      <w:docGrid w:type="default" w:linePitch="299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11772218"/>
    </w:sdtPr>
    <w:sdtContent>
      <w:p>
        <w:pPr>
          <w:pStyle w:val="Style23"/>
          <w:jc w:val="center"/>
          <w:rPr/>
        </w:pPr>
        <w:r>
          <w:rPr/>
        </w:r>
      </w:p>
      <w:p>
        <w:pPr>
          <w:pStyle w:val="Style23"/>
          <w:jc w:val="center"/>
          <w:rPr/>
        </w:pPr>
        <w:r>
          <w:rPr>
            <w:rFonts w:ascii="Times New Roman" w:hAnsi="Times New Roman"/>
            <w:sz w:val="24"/>
          </w:rPr>
          <w:fldChar w:fldCharType="begin"/>
        </w:r>
        <w:r>
          <w:instrText> PAGE </w:instrText>
        </w:r>
        <w:r>
          <w:fldChar w:fldCharType="separate"/>
        </w:r>
        <w:r>
          <w:t>9</w:t>
        </w:r>
        <w: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7d19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b76f6d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6d2d24"/>
    <w:rPr/>
  </w:style>
  <w:style w:type="character" w:styleId="Style16" w:customStyle="1">
    <w:name w:val="Нижний колонтитул Знак"/>
    <w:basedOn w:val="DefaultParagraphFont"/>
    <w:link w:val="a8"/>
    <w:uiPriority w:val="99"/>
    <w:semiHidden/>
    <w:qFormat/>
    <w:rsid w:val="006d2d24"/>
    <w:rPr/>
  </w:style>
  <w:style w:type="character" w:styleId="PlaceholderText">
    <w:name w:val="Placeholder Text"/>
    <w:basedOn w:val="DefaultParagraphFont"/>
    <w:uiPriority w:val="99"/>
    <w:semiHidden/>
    <w:qFormat/>
    <w:rsid w:val="00cc5682"/>
    <w:rPr>
      <w:color w:val="808080"/>
    </w:rPr>
  </w:style>
  <w:style w:type="character" w:styleId="ListLabel1">
    <w:name w:val="ListLabel 1"/>
    <w:qFormat/>
    <w:rPr>
      <w:rFonts w:cs="Times New Roman"/>
      <w:sz w:val="28"/>
    </w:rPr>
  </w:style>
  <w:style w:type="character" w:styleId="Style17">
    <w:name w:val="Интернет-ссылка"/>
    <w:rPr>
      <w:color w:val="000080"/>
      <w:u w:val="single"/>
      <w:lang w:val="zxx" w:eastAsia="zxx" w:bidi="zxx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b76f6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00087e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sz w:val="22"/>
      <w:szCs w:val="20"/>
      <w:lang w:val="ru-RU" w:eastAsia="ru-RU" w:bidi="ar-SA"/>
    </w:rPr>
  </w:style>
  <w:style w:type="paragraph" w:styleId="Style23">
    <w:name w:val="Header"/>
    <w:basedOn w:val="Normal"/>
    <w:link w:val="a7"/>
    <w:uiPriority w:val="99"/>
    <w:unhideWhenUsed/>
    <w:rsid w:val="006d2d2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semiHidden/>
    <w:unhideWhenUsed/>
    <w:rsid w:val="006d2d24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c5a1d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cb6c2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72406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0087e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3FF4428575CFC3C5CDAC54032845C8183C95DAD27D72C2408884CB4521AD14A589A914D108DBCA4546BCE42315EB8F9AEB6F98ACFD1CB86CC3A59B80JBu0N" TargetMode="External"/><Relationship Id="rId3" Type="http://schemas.openxmlformats.org/officeDocument/2006/relationships/hyperlink" Target="consultantplus://offline/ref=9346A5B0CB9D73D48094F0C72FB898DF760708D23879B91CED9A9191A521AFCAE863BDBFBCFC498D03E472379DC49302D96DD48AAC663BE15EVFI" TargetMode="External"/><Relationship Id="rId4" Type="http://schemas.openxmlformats.org/officeDocument/2006/relationships/hyperlink" Target="consultantplus://offline/ref=F18E653B1BF8C8367B540D343C2B63493B3D4D30B48CFE60A7C90DC253F34AB194048A8D6B10AE97E30073BE0FFA463CC34DCC9CDBFA91F3B5253D47M4FEN" TargetMode="External"/><Relationship Id="rId5" Type="http://schemas.openxmlformats.org/officeDocument/2006/relationships/hyperlink" Target="consultantplus://offline/ref=6669208CDE4950161830FB91A2AD3F2A12499C56543F72CD770A1EC91591AF7FDDDA7345060D7AAB49681F44B6AEBD316E9C1C3E1CD50E4BF" TargetMode="External"/><Relationship Id="rId6" Type="http://schemas.openxmlformats.org/officeDocument/2006/relationships/hyperlink" Target="consultantplus://offline/ref=6669208CDE4950161830FB91A2AD3F2A12499C56543F72CD770A1EC91591AF7FDDDA7345060D7AAB49681F44B6AEBD316E9C1C3E1CD50E4BF" TargetMode="Externa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38F492-4E4D-40D6-87AB-223DDF65B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LibreOffice/5.1.2.2$Windows_X86_64 LibreOffice_project/d3bf12ecb743fc0d20e0be0c58ca359301eb705f</Application>
  <Pages>9</Pages>
  <Words>2647</Words>
  <Characters>19839</Characters>
  <CharactersWithSpaces>22676</CharactersWithSpaces>
  <Paragraphs>146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2021-02-18T11:33:00Z</dcterms:created>
  <dc:creator>safonovasa</dc:creator>
  <dc:description/>
  <dc:language>ru-RU</dc:language>
  <cp:lastModifiedBy/>
  <cp:lastPrinted>2021-02-12T12:16:00Z</cp:lastPrinted>
  <dcterms:modified xsi:type="dcterms:W3CDTF">2021-02-20T10:43:43Z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