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28" w:type="dxa"/>
        <w:jc w:val="left"/>
        <w:tblInd w:w="0" w:type="dxa"/>
        <w:tblBorders/>
        <w:tblCellMar>
          <w:top w:w="0" w:type="dxa"/>
          <w:left w:w="108" w:type="dxa"/>
          <w:bottom w:w="0" w:type="dxa"/>
          <w:right w:w="108" w:type="dxa"/>
        </w:tblCellMar>
        <w:tblLook w:val="01e0"/>
      </w:tblPr>
      <w:tblGrid>
        <w:gridCol w:w="5428"/>
        <w:gridCol w:w="4199"/>
      </w:tblGrid>
      <w:tr>
        <w:trPr/>
        <w:tc>
          <w:tcPr>
            <w:tcW w:w="5428" w:type="dxa"/>
            <w:tcBorders/>
            <w:shd w:fill="auto" w:val="clear"/>
          </w:tcPr>
          <w:p>
            <w:pPr>
              <w:pStyle w:val="Normal"/>
              <w:widowControl w:val="false"/>
              <w:rPr>
                <w:sz w:val="28"/>
                <w:szCs w:val="28"/>
              </w:rPr>
            </w:pPr>
            <w:r>
              <w:rPr>
                <w:sz w:val="28"/>
                <w:szCs w:val="28"/>
              </w:rPr>
            </w:r>
          </w:p>
        </w:tc>
        <w:tc>
          <w:tcPr>
            <w:tcW w:w="4199" w:type="dxa"/>
            <w:tcBorders/>
            <w:shd w:fill="auto" w:val="clear"/>
          </w:tcPr>
          <w:p>
            <w:pPr>
              <w:pStyle w:val="Normal"/>
              <w:jc w:val="both"/>
              <w:rPr>
                <w:sz w:val="28"/>
                <w:szCs w:val="28"/>
              </w:rPr>
            </w:pPr>
            <w:bookmarkStart w:id="0" w:name="__DdeLink__1059_1988197195"/>
            <w:r>
              <w:rPr>
                <w:sz w:val="28"/>
                <w:szCs w:val="28"/>
              </w:rPr>
              <w:t xml:space="preserve">Приложение </w:t>
            </w:r>
          </w:p>
          <w:p>
            <w:pPr>
              <w:pStyle w:val="Normal"/>
              <w:jc w:val="both"/>
              <w:rPr>
                <w:sz w:val="28"/>
                <w:szCs w:val="28"/>
              </w:rPr>
            </w:pPr>
            <w:r>
              <w:rPr>
                <w:sz w:val="28"/>
                <w:szCs w:val="28"/>
              </w:rPr>
              <w:t>к постановлению министерства финансов Рязанской области</w:t>
            </w:r>
          </w:p>
          <w:p>
            <w:pPr>
              <w:pStyle w:val="Normal"/>
              <w:jc w:val="both"/>
              <w:rPr>
                <w:sz w:val="28"/>
                <w:szCs w:val="28"/>
              </w:rPr>
            </w:pPr>
            <w:bookmarkStart w:id="1" w:name="__DdeLink__1059_1988197195"/>
            <w:bookmarkEnd w:id="1"/>
            <w:r>
              <w:rPr>
                <w:sz w:val="28"/>
                <w:szCs w:val="28"/>
              </w:rPr>
              <w:t>от 16 февраля 2021 г. № 1</w:t>
            </w:r>
          </w:p>
        </w:tc>
      </w:tr>
    </w:tbl>
    <w:p>
      <w:pPr>
        <w:pStyle w:val="Normal"/>
        <w:spacing w:lineRule="auto" w:line="192"/>
        <w:jc w:val="center"/>
        <w:rPr>
          <w:sz w:val="28"/>
          <w:szCs w:val="28"/>
        </w:rPr>
      </w:pPr>
      <w:r>
        <w:rPr>
          <w:sz w:val="28"/>
          <w:szCs w:val="28"/>
        </w:rPr>
      </w:r>
    </w:p>
    <w:p>
      <w:pPr>
        <w:pStyle w:val="Normal"/>
        <w:spacing w:lineRule="auto" w:line="192"/>
        <w:jc w:val="center"/>
        <w:rPr>
          <w:sz w:val="28"/>
          <w:szCs w:val="28"/>
        </w:rPr>
      </w:pPr>
      <w:r>
        <w:rPr>
          <w:sz w:val="28"/>
          <w:szCs w:val="28"/>
        </w:rPr>
      </w:r>
    </w:p>
    <w:p>
      <w:pPr>
        <w:pStyle w:val="Normal"/>
        <w:jc w:val="center"/>
        <w:rPr>
          <w:sz w:val="28"/>
          <w:szCs w:val="28"/>
        </w:rPr>
      </w:pPr>
      <w:r>
        <w:rPr>
          <w:sz w:val="28"/>
          <w:szCs w:val="28"/>
        </w:rPr>
        <w:t xml:space="preserve">Условия </w:t>
      </w:r>
    </w:p>
    <w:p>
      <w:pPr>
        <w:pStyle w:val="Normal"/>
        <w:jc w:val="center"/>
        <w:rPr>
          <w:sz w:val="28"/>
          <w:szCs w:val="28"/>
        </w:rPr>
      </w:pPr>
      <w:r>
        <w:rPr>
          <w:sz w:val="28"/>
          <w:szCs w:val="28"/>
        </w:rPr>
        <w:t xml:space="preserve">эмиссии и обращения государственных облигаций Рязанской области </w:t>
      </w:r>
    </w:p>
    <w:p>
      <w:pPr>
        <w:pStyle w:val="Normal"/>
        <w:jc w:val="center"/>
        <w:rPr>
          <w:sz w:val="28"/>
          <w:szCs w:val="28"/>
        </w:rPr>
      </w:pPr>
      <w:r>
        <w:rPr>
          <w:sz w:val="28"/>
          <w:szCs w:val="28"/>
        </w:rPr>
        <w:t>2021 года с фиксированным купонным доходом и амортизацией долга</w:t>
      </w:r>
    </w:p>
    <w:p>
      <w:pPr>
        <w:pStyle w:val="Normal"/>
        <w:jc w:val="center"/>
        <w:rPr>
          <w:sz w:val="28"/>
          <w:szCs w:val="28"/>
        </w:rPr>
      </w:pPr>
      <w:r>
        <w:rPr>
          <w:sz w:val="28"/>
          <w:szCs w:val="28"/>
        </w:rPr>
      </w:r>
    </w:p>
    <w:p>
      <w:pPr>
        <w:pStyle w:val="Normal"/>
        <w:numPr>
          <w:ilvl w:val="0"/>
          <w:numId w:val="1"/>
        </w:numPr>
        <w:rPr>
          <w:sz w:val="28"/>
          <w:szCs w:val="28"/>
        </w:rPr>
      </w:pPr>
      <w:r>
        <w:rPr>
          <w:sz w:val="28"/>
          <w:szCs w:val="28"/>
        </w:rPr>
        <w:t>Общие положения</w:t>
      </w:r>
    </w:p>
    <w:p>
      <w:pPr>
        <w:pStyle w:val="Normal"/>
        <w:ind w:firstLine="720"/>
        <w:rPr>
          <w:sz w:val="28"/>
          <w:szCs w:val="28"/>
        </w:rPr>
      </w:pPr>
      <w:r>
        <w:rPr>
          <w:sz w:val="28"/>
          <w:szCs w:val="28"/>
        </w:rPr>
      </w:r>
    </w:p>
    <w:p>
      <w:pPr>
        <w:pStyle w:val="Normal"/>
        <w:numPr>
          <w:ilvl w:val="1"/>
          <w:numId w:val="1"/>
        </w:numPr>
        <w:tabs>
          <w:tab w:val="left" w:pos="1276" w:leader="none"/>
        </w:tabs>
        <w:ind w:left="0" w:firstLine="720"/>
        <w:jc w:val="both"/>
        <w:rPr>
          <w:sz w:val="28"/>
          <w:szCs w:val="28"/>
        </w:rPr>
      </w:pPr>
      <w:r>
        <w:rPr>
          <w:sz w:val="28"/>
          <w:szCs w:val="28"/>
        </w:rPr>
        <w:t xml:space="preserve">Настоящие Условия эмиссии и обращения государственных облигаций Рязанской области 2021 года с фиксированным купонным доходом и амортизацией долга (далее – Условия) разработаны в соответствии с Бюджетным кодексом Российской Федерации и Генеральными условиями, утвержденными постановлением Правительства Рязанской области от 17.04.2018 № 101 «Об утверждении Генеральных условий эмиссии и обращения государственных облигаций Рязанской области в форме именных документарных ценных бумаг» (далее – Генеральные условия). </w:t>
      </w:r>
    </w:p>
    <w:p>
      <w:pPr>
        <w:pStyle w:val="Normal"/>
        <w:numPr>
          <w:ilvl w:val="1"/>
          <w:numId w:val="1"/>
        </w:numPr>
        <w:tabs>
          <w:tab w:val="left" w:pos="1276" w:leader="none"/>
        </w:tabs>
        <w:ind w:left="0" w:firstLine="720"/>
        <w:jc w:val="both"/>
        <w:rPr>
          <w:sz w:val="28"/>
          <w:szCs w:val="28"/>
        </w:rPr>
      </w:pPr>
      <w:r>
        <w:rPr>
          <w:sz w:val="28"/>
          <w:szCs w:val="28"/>
        </w:rPr>
        <w:t xml:space="preserve">Условия определяют порядок эмиссии, обращения и погашения государственных облигаций Рязанской области 2021 года с фиксированным купонным доходом и амортизацией долга (далее – Облигации). </w:t>
      </w:r>
    </w:p>
    <w:p>
      <w:pPr>
        <w:pStyle w:val="Normal"/>
        <w:numPr>
          <w:ilvl w:val="1"/>
          <w:numId w:val="1"/>
        </w:numPr>
        <w:tabs>
          <w:tab w:val="left" w:pos="1276" w:leader="none"/>
        </w:tabs>
        <w:ind w:left="0" w:firstLine="720"/>
        <w:jc w:val="both"/>
        <w:rPr>
          <w:sz w:val="28"/>
          <w:szCs w:val="28"/>
        </w:rPr>
      </w:pPr>
      <w:r>
        <w:rPr>
          <w:sz w:val="28"/>
          <w:szCs w:val="28"/>
        </w:rPr>
        <w:t>Облигации выпускаются в форме именных документарных ценных бумаг с обязательным централизованным хранением Глобального сертификата Облигаций.</w:t>
      </w:r>
    </w:p>
    <w:p>
      <w:pPr>
        <w:pStyle w:val="Normal"/>
        <w:numPr>
          <w:ilvl w:val="1"/>
          <w:numId w:val="1"/>
        </w:numPr>
        <w:tabs>
          <w:tab w:val="left" w:pos="1276" w:leader="none"/>
        </w:tabs>
        <w:ind w:left="0" w:firstLine="720"/>
        <w:jc w:val="both"/>
        <w:rPr>
          <w:sz w:val="28"/>
          <w:szCs w:val="28"/>
        </w:rPr>
      </w:pPr>
      <w:r>
        <w:rPr>
          <w:sz w:val="28"/>
          <w:szCs w:val="28"/>
        </w:rPr>
        <w:t xml:space="preserve">Эмитентом Облигаций от имени субъекта Российской </w:t>
      </w:r>
      <w:r>
        <w:rPr>
          <w:spacing w:val="-20"/>
          <w:sz w:val="28"/>
          <w:szCs w:val="28"/>
        </w:rPr>
        <w:t>Федерации</w:t>
      </w:r>
      <w:r>
        <w:rPr>
          <w:sz w:val="28"/>
          <w:szCs w:val="28"/>
        </w:rPr>
        <w:t xml:space="preserve"> – Рязанской области выступает министерство финансов Рязанской области (далее – Эмитент).</w:t>
      </w:r>
    </w:p>
    <w:p>
      <w:pPr>
        <w:pStyle w:val="Normal"/>
        <w:tabs>
          <w:tab w:val="left" w:pos="1276" w:leader="none"/>
        </w:tabs>
        <w:ind w:firstLine="720"/>
        <w:jc w:val="both"/>
        <w:rPr>
          <w:sz w:val="28"/>
          <w:szCs w:val="28"/>
        </w:rPr>
      </w:pPr>
      <w:r>
        <w:rPr>
          <w:sz w:val="28"/>
          <w:szCs w:val="28"/>
        </w:rPr>
        <w:t xml:space="preserve">Местонахождение и почтовый адрес Эмитента: 390000, г. Рязань, </w:t>
        <w:br/>
        <w:t>ул. Почтовая, д. 51.</w:t>
      </w:r>
    </w:p>
    <w:p>
      <w:pPr>
        <w:pStyle w:val="Normal"/>
        <w:tabs>
          <w:tab w:val="left" w:pos="1276" w:leader="none"/>
        </w:tabs>
        <w:ind w:firstLine="720"/>
        <w:jc w:val="both"/>
        <w:rPr>
          <w:sz w:val="28"/>
          <w:szCs w:val="28"/>
        </w:rPr>
      </w:pPr>
      <w:r>
        <w:rPr>
          <w:sz w:val="28"/>
          <w:szCs w:val="28"/>
        </w:rPr>
        <w:t>Мероприятия, необходимые для осуществления эмиссии, обращения и погашения Облигаций, проводит Эмитент.</w:t>
      </w:r>
    </w:p>
    <w:p>
      <w:pPr>
        <w:pStyle w:val="Normal"/>
        <w:numPr>
          <w:ilvl w:val="1"/>
          <w:numId w:val="1"/>
        </w:numPr>
        <w:tabs>
          <w:tab w:val="left" w:pos="1276" w:leader="none"/>
        </w:tabs>
        <w:ind w:left="0" w:firstLine="720"/>
        <w:jc w:val="both"/>
        <w:rPr>
          <w:sz w:val="28"/>
          <w:szCs w:val="28"/>
        </w:rPr>
      </w:pPr>
      <w:r>
        <w:rPr>
          <w:sz w:val="28"/>
          <w:szCs w:val="28"/>
        </w:rPr>
        <w:t xml:space="preserve">Уполномоченным агентом Эмитента, организующим размещение Облигаций, выступает профессиональный участник рынка ценных бумаг,  определенный в соответствии с законодательством Российской Федерации и заключивший с Эмитентом государственный контракт (далее – Уполномоченный агент). </w:t>
      </w:r>
    </w:p>
    <w:p>
      <w:pPr>
        <w:pStyle w:val="Normal"/>
        <w:tabs>
          <w:tab w:val="left" w:pos="1276" w:leader="none"/>
        </w:tabs>
        <w:ind w:firstLine="720"/>
        <w:jc w:val="both"/>
        <w:rPr>
          <w:sz w:val="28"/>
          <w:szCs w:val="28"/>
        </w:rPr>
      </w:pPr>
      <w:r>
        <w:rPr>
          <w:sz w:val="28"/>
          <w:szCs w:val="28"/>
        </w:rPr>
        <w:t xml:space="preserve">Уполномоченным депозитарием выступает профессиональный участник рынка ценных бумаг, осуществляющий на основании соответствующей лицензии обязательное централизованное хранение глобального сертификата выпуска Облигаций (далее – Глобальный сертификат), определенный в соответствии с законодательством Российской Федерации и заключивший с Эмитентом государственный контракт (далее – Уполномоченный депозитарий). </w:t>
      </w:r>
    </w:p>
    <w:p>
      <w:pPr>
        <w:pStyle w:val="Normal"/>
        <w:tabs>
          <w:tab w:val="left" w:pos="1276" w:leader="none"/>
        </w:tabs>
        <w:ind w:firstLine="720"/>
        <w:jc w:val="both"/>
        <w:rPr>
          <w:sz w:val="28"/>
          <w:szCs w:val="28"/>
        </w:rPr>
      </w:pPr>
      <w:r>
        <w:rPr>
          <w:sz w:val="28"/>
          <w:szCs w:val="28"/>
        </w:rPr>
        <w:t xml:space="preserve">Организатором торговли на рынке ценных бумаг выступает лицо, оказывающее услуги по проведению организованных торгов на финансовом рынке на основании лицензии биржи, определенное в соответствии с законодательством Российской Федерации и заключившее с Эмитентом государственный контракт (далее – Организатор торговли). </w:t>
      </w:r>
    </w:p>
    <w:p>
      <w:pPr>
        <w:pStyle w:val="Normal"/>
        <w:tabs>
          <w:tab w:val="left" w:pos="1276" w:leader="none"/>
        </w:tabs>
        <w:ind w:firstLine="720"/>
        <w:jc w:val="both"/>
        <w:rPr>
          <w:sz w:val="28"/>
          <w:szCs w:val="28"/>
        </w:rPr>
      </w:pPr>
      <w:r>
        <w:rPr>
          <w:sz w:val="28"/>
          <w:szCs w:val="28"/>
        </w:rPr>
        <w:t>Данные об Уполномоченном агенте, Уполномоченном депозитарии и Организаторе торговли раскрываются Эмитентом в решении об эмиссии отдельного выпуска государственных облигаций Рязанской области 2021 года с фиксированным купонным доходом и амортизацией долга (далее – Решение об эмиссии).</w:t>
      </w:r>
    </w:p>
    <w:p>
      <w:pPr>
        <w:pStyle w:val="Normal"/>
        <w:numPr>
          <w:ilvl w:val="1"/>
          <w:numId w:val="1"/>
        </w:numPr>
        <w:tabs>
          <w:tab w:val="left" w:pos="1276" w:leader="none"/>
        </w:tabs>
        <w:ind w:left="0" w:firstLine="720"/>
        <w:jc w:val="both"/>
        <w:rPr>
          <w:sz w:val="28"/>
          <w:szCs w:val="28"/>
        </w:rPr>
      </w:pPr>
      <w:r>
        <w:rPr>
          <w:sz w:val="28"/>
          <w:szCs w:val="28"/>
        </w:rPr>
        <w:t>Срок обращения Облигаций устанавливается в Решении об эмиссии и может быть от 1 (Одного) года до 5 (Пяти) лет.</w:t>
      </w:r>
    </w:p>
    <w:p>
      <w:pPr>
        <w:pStyle w:val="Normal"/>
        <w:numPr>
          <w:ilvl w:val="1"/>
          <w:numId w:val="1"/>
        </w:numPr>
        <w:tabs>
          <w:tab w:val="left" w:pos="1276" w:leader="none"/>
        </w:tabs>
        <w:ind w:left="0" w:firstLine="720"/>
        <w:jc w:val="both"/>
        <w:rPr>
          <w:sz w:val="28"/>
          <w:szCs w:val="28"/>
        </w:rPr>
      </w:pPr>
      <w:r>
        <w:rPr>
          <w:sz w:val="28"/>
          <w:szCs w:val="28"/>
        </w:rPr>
        <w:t xml:space="preserve">Номинальная стоимость одной облигации в пределах одного выпуска выражается в валюте Российской Федерации и составляет </w:t>
        <w:br/>
        <w:t>1 000 (Одна тысяча) рублей.</w:t>
      </w:r>
    </w:p>
    <w:p>
      <w:pPr>
        <w:pStyle w:val="Normal"/>
        <w:numPr>
          <w:ilvl w:val="1"/>
          <w:numId w:val="1"/>
        </w:numPr>
        <w:tabs>
          <w:tab w:val="left" w:pos="1276" w:leader="none"/>
        </w:tabs>
        <w:ind w:left="0" w:firstLine="720"/>
        <w:jc w:val="both"/>
        <w:rPr>
          <w:sz w:val="28"/>
          <w:szCs w:val="28"/>
        </w:rPr>
      </w:pPr>
      <w:r>
        <w:rPr>
          <w:sz w:val="28"/>
          <w:szCs w:val="28"/>
        </w:rPr>
        <w:t>На основании Генеральных условий и настоящих Условий Эмитент принимает Решение об эмиссии, содержащее условия выпуска Облигаций в соответствии со статьей 121.7. Бюджетного кодекса Российской Федерации.</w:t>
      </w:r>
    </w:p>
    <w:p>
      <w:pPr>
        <w:pStyle w:val="Normal"/>
        <w:numPr>
          <w:ilvl w:val="1"/>
          <w:numId w:val="1"/>
        </w:numPr>
        <w:tabs>
          <w:tab w:val="left" w:pos="1276" w:leader="none"/>
        </w:tabs>
        <w:ind w:left="0" w:firstLine="720"/>
        <w:jc w:val="both"/>
        <w:rPr>
          <w:sz w:val="28"/>
          <w:szCs w:val="28"/>
        </w:rPr>
      </w:pPr>
      <w:r>
        <w:rPr>
          <w:sz w:val="28"/>
          <w:szCs w:val="28"/>
        </w:rPr>
        <w:t xml:space="preserve">Весь выпуск Облигаций оформляется одним Глобальным сертификатом, который удостоверяет совокупность прав на Облигации, указанные в нем, и до даты начала размещения передается на хранение в Уполномоченный депозитарий. Глобальный сертификат на руки владельцам Облигаций не выдается. </w:t>
      </w:r>
    </w:p>
    <w:p>
      <w:pPr>
        <w:pStyle w:val="Normal"/>
        <w:tabs>
          <w:tab w:val="left" w:pos="1276" w:leader="none"/>
        </w:tabs>
        <w:ind w:firstLine="720"/>
        <w:jc w:val="both"/>
        <w:rPr>
          <w:sz w:val="28"/>
          <w:szCs w:val="28"/>
        </w:rPr>
      </w:pPr>
      <w:r>
        <w:rPr>
          <w:sz w:val="28"/>
          <w:szCs w:val="28"/>
        </w:rPr>
        <w:t>Учет и удостоверение прав на Облигации, учет и удостоверение перехода прав на Облигации, включая случаи обременения Облигаций обязательствами, осуществляется Уполномоченным депозитарием.</w:t>
      </w:r>
    </w:p>
    <w:p>
      <w:pPr>
        <w:pStyle w:val="Normal"/>
        <w:tabs>
          <w:tab w:val="left" w:pos="1276" w:leader="none"/>
        </w:tabs>
        <w:ind w:firstLine="720"/>
        <w:jc w:val="both"/>
        <w:rPr>
          <w:sz w:val="28"/>
          <w:szCs w:val="28"/>
        </w:rPr>
      </w:pPr>
      <w:r>
        <w:rPr>
          <w:sz w:val="28"/>
          <w:szCs w:val="28"/>
        </w:rPr>
        <w:t xml:space="preserve">В случае заключения Эмитентом государственного контракта на учет и удостоверение прав на Облигации, учет и удостоверение перехода прав на Облигации, включая случаи обременения Облигаций обязательствами с иными депозитариями, Уполномоченный депозитарий учет прав на Облигации не осуществляет (далее – Депозитарии). </w:t>
      </w:r>
    </w:p>
    <w:p>
      <w:pPr>
        <w:pStyle w:val="Normal"/>
        <w:tabs>
          <w:tab w:val="left" w:pos="1276" w:leader="none"/>
        </w:tabs>
        <w:ind w:firstLine="720"/>
        <w:jc w:val="both"/>
        <w:rPr>
          <w:sz w:val="28"/>
          <w:szCs w:val="28"/>
        </w:rPr>
      </w:pPr>
      <w:r>
        <w:rPr>
          <w:sz w:val="28"/>
          <w:szCs w:val="28"/>
        </w:rPr>
        <w:t xml:space="preserve">При этом обязательное централизованное хранение Глобального сертификата осуществляется только Уполномоченным депозитарием, как это определено в пункте 1.5 настоящих Условий. </w:t>
      </w:r>
    </w:p>
    <w:p>
      <w:pPr>
        <w:pStyle w:val="Normal"/>
        <w:tabs>
          <w:tab w:val="left" w:pos="1276" w:leader="none"/>
        </w:tabs>
        <w:ind w:firstLine="720"/>
        <w:jc w:val="both"/>
        <w:rPr>
          <w:sz w:val="28"/>
          <w:szCs w:val="28"/>
        </w:rPr>
      </w:pPr>
      <w:r>
        <w:rPr>
          <w:sz w:val="28"/>
          <w:szCs w:val="28"/>
        </w:rPr>
      </w:r>
    </w:p>
    <w:p>
      <w:pPr>
        <w:pStyle w:val="Normal"/>
        <w:numPr>
          <w:ilvl w:val="0"/>
          <w:numId w:val="0"/>
        </w:numPr>
        <w:jc w:val="center"/>
        <w:outlineLvl w:val="1"/>
        <w:rPr>
          <w:sz w:val="28"/>
          <w:szCs w:val="28"/>
        </w:rPr>
      </w:pPr>
      <w:r>
        <w:rPr>
          <w:sz w:val="28"/>
          <w:szCs w:val="28"/>
        </w:rPr>
        <w:t>2. Порядок размещения и обращения Облигаций</w:t>
      </w:r>
    </w:p>
    <w:p>
      <w:pPr>
        <w:pStyle w:val="Normal"/>
        <w:numPr>
          <w:ilvl w:val="0"/>
          <w:numId w:val="0"/>
        </w:numPr>
        <w:ind w:left="720" w:hanging="0"/>
        <w:outlineLvl w:val="1"/>
        <w:rPr>
          <w:sz w:val="28"/>
          <w:szCs w:val="28"/>
        </w:rPr>
      </w:pPr>
      <w:r>
        <w:rPr>
          <w:sz w:val="28"/>
          <w:szCs w:val="28"/>
        </w:rPr>
      </w:r>
    </w:p>
    <w:p>
      <w:pPr>
        <w:pStyle w:val="Normal"/>
        <w:ind w:firstLine="709"/>
        <w:jc w:val="both"/>
        <w:rPr>
          <w:sz w:val="28"/>
          <w:szCs w:val="28"/>
        </w:rPr>
      </w:pPr>
      <w:r>
        <w:rPr>
          <w:sz w:val="28"/>
          <w:szCs w:val="28"/>
        </w:rPr>
        <w:t>2.1. Дата начала размещения Облигаций определяется Эмитентом после государственной регистрации настоящих Условий в Министерстве финансов Российской Федерации и устанавливается в Решении о выпуске.</w:t>
      </w:r>
    </w:p>
    <w:p>
      <w:pPr>
        <w:pStyle w:val="Normal"/>
        <w:ind w:firstLine="709"/>
        <w:jc w:val="both"/>
        <w:rPr>
          <w:sz w:val="28"/>
          <w:szCs w:val="28"/>
        </w:rPr>
      </w:pPr>
      <w:r>
        <w:rPr>
          <w:sz w:val="28"/>
          <w:szCs w:val="28"/>
        </w:rPr>
        <w:t>Датой окончания размещения Облигаций является день продажи последней Облигации первым владельцам, но не позднее даты погашения.</w:t>
      </w:r>
    </w:p>
    <w:p>
      <w:pPr>
        <w:pStyle w:val="Normal"/>
        <w:ind w:firstLine="709"/>
        <w:jc w:val="both"/>
        <w:rPr>
          <w:sz w:val="28"/>
          <w:szCs w:val="28"/>
        </w:rPr>
      </w:pPr>
      <w:r>
        <w:rPr>
          <w:sz w:val="28"/>
          <w:szCs w:val="28"/>
        </w:rPr>
        <w:t>Раскрытие информации, содержащейся в Решении об эмиссии, осуществляется Эмитентом путем размещения (опубликования) на своем официальном сайте в информационно-телекоммуникационной сети «Интернет» не позднее даты начала размещения выпуска Облигаций.</w:t>
      </w:r>
    </w:p>
    <w:p>
      <w:pPr>
        <w:pStyle w:val="Normal"/>
        <w:ind w:firstLine="709"/>
        <w:jc w:val="both"/>
        <w:rPr>
          <w:sz w:val="28"/>
          <w:szCs w:val="28"/>
        </w:rPr>
      </w:pPr>
      <w:r>
        <w:rPr>
          <w:sz w:val="28"/>
          <w:szCs w:val="28"/>
        </w:rPr>
        <w:t>2.2. Размещение выпусков Облигаций может осуществляться:</w:t>
      </w:r>
    </w:p>
    <w:p>
      <w:pPr>
        <w:pStyle w:val="Normal"/>
        <w:ind w:firstLine="709"/>
        <w:jc w:val="both"/>
        <w:rPr>
          <w:sz w:val="28"/>
          <w:szCs w:val="28"/>
        </w:rPr>
      </w:pPr>
      <w:r>
        <w:rPr>
          <w:sz w:val="28"/>
          <w:szCs w:val="28"/>
        </w:rPr>
        <w:t>1) посредством заключения в соответствии с законодательством Российской Федерации, Генеральными условиями, настоящими Условиями и Решением об эмиссии сделок купли-продажи Облигаций между Эмитентом в лице Уполномоченного агента, действующего по поручению и за счет Эмитента, и первыми владельцами Облигаций на конкурсе по определению ставки первого купона (далее – конкурс), проводимом у Организатора торговли в соответствии с правилами проведения торгов по ценным бумагам, установленными Организатором торговли, и цене размещения, равной номинальной стоимости в дату проведения конкурса и равной или отличной от нее в последующие даты.</w:t>
      </w:r>
    </w:p>
    <w:p>
      <w:pPr>
        <w:pStyle w:val="Normal"/>
        <w:ind w:firstLine="709"/>
        <w:jc w:val="both"/>
        <w:rPr>
          <w:sz w:val="28"/>
          <w:szCs w:val="28"/>
        </w:rPr>
      </w:pPr>
      <w:r>
        <w:rPr>
          <w:sz w:val="28"/>
          <w:szCs w:val="28"/>
        </w:rPr>
        <w:t>В дату начала размещения Облигаций проводится конкурс по определению ставки первого купона  в следующем порядке:</w:t>
      </w:r>
    </w:p>
    <w:p>
      <w:pPr>
        <w:pStyle w:val="Normal"/>
        <w:ind w:firstLine="709"/>
        <w:jc w:val="both"/>
        <w:rPr>
          <w:sz w:val="28"/>
          <w:szCs w:val="28"/>
        </w:rPr>
      </w:pPr>
      <w:r>
        <w:rPr>
          <w:sz w:val="28"/>
          <w:szCs w:val="28"/>
        </w:rPr>
        <w:t>предметом конкурса является определение ставки первого купона в процентах годовых. Ставка купонного дохода указывается в заявках на покупку Облигаций (далее – заявки на покупку) в процентах годовых с точностью до сотых долей процента;</w:t>
      </w:r>
    </w:p>
    <w:p>
      <w:pPr>
        <w:pStyle w:val="Normal"/>
        <w:ind w:firstLine="709"/>
        <w:jc w:val="both"/>
        <w:rPr>
          <w:sz w:val="28"/>
          <w:szCs w:val="28"/>
        </w:rPr>
      </w:pPr>
      <w:r>
        <w:rPr>
          <w:sz w:val="28"/>
          <w:szCs w:val="28"/>
        </w:rPr>
        <w:t>участники размещения подают в адрес Уполномоченного агента заявки на покупку. Существенным условием каждой заявки на покупку является указание ставки по первому купону в процентах годовых и количества приобретаемых Облигаций;</w:t>
      </w:r>
    </w:p>
    <w:p>
      <w:pPr>
        <w:pStyle w:val="Normal"/>
        <w:ind w:firstLine="709"/>
        <w:jc w:val="both"/>
        <w:rPr>
          <w:sz w:val="28"/>
          <w:szCs w:val="28"/>
        </w:rPr>
      </w:pPr>
      <w:r>
        <w:rPr>
          <w:sz w:val="28"/>
          <w:szCs w:val="28"/>
        </w:rPr>
        <w:t>размещение Облигаций в дату проведения конкурса осуществляется по цене, равной 100 (ста) процентам от номинальной стоимости Облигаций;</w:t>
      </w:r>
    </w:p>
    <w:p>
      <w:pPr>
        <w:pStyle w:val="Normal"/>
        <w:ind w:firstLine="709"/>
        <w:jc w:val="both"/>
        <w:rPr>
          <w:sz w:val="28"/>
          <w:szCs w:val="28"/>
        </w:rPr>
      </w:pPr>
      <w:r>
        <w:rPr>
          <w:sz w:val="28"/>
          <w:szCs w:val="28"/>
        </w:rPr>
        <w:t>Эмитент устанавливает ставку по первому купону на основании поданных заявок на покупку и с учетом приемлемой стоимости заимствования. Информация о размере ставки по первому купону размещается на официальном сайте Эмитента в информационно-телекоммуникационной сети «Интернет» в дату начала размещения выпуска Облигаций;</w:t>
      </w:r>
    </w:p>
    <w:p>
      <w:pPr>
        <w:pStyle w:val="Normal"/>
        <w:ind w:firstLine="709"/>
        <w:jc w:val="both"/>
        <w:rPr>
          <w:sz w:val="28"/>
          <w:szCs w:val="28"/>
        </w:rPr>
      </w:pPr>
      <w:r>
        <w:rPr>
          <w:sz w:val="28"/>
          <w:szCs w:val="28"/>
        </w:rPr>
        <w:t>Уполномоченный агент Эмитента удовлетворяет только те заявки на покупку, в которых ставка по первому купону равна или ниже ставки по первому купону, установленной Эмитентом;</w:t>
      </w:r>
    </w:p>
    <w:p>
      <w:pPr>
        <w:pStyle w:val="Normal"/>
        <w:ind w:firstLine="709"/>
        <w:jc w:val="both"/>
        <w:rPr>
          <w:sz w:val="28"/>
          <w:szCs w:val="28"/>
        </w:rPr>
      </w:pPr>
      <w:r>
        <w:rPr>
          <w:sz w:val="28"/>
          <w:szCs w:val="28"/>
        </w:rPr>
        <w:t>заявки на покупку удовлетворяются на условиях приоритета заявок на покупку с минимальной ставкой по первому купону. Если с одинаковой ставкой по первому купону зарегистрировано несколько заявок на покупку, то в первую очередь удовлетворяются заявки на покупку, поданные ранее по времени. Количество Облигаций, указанных в заявке на покупку, не влияет на ее приоритет. В случае если объем последней из удовлетворяемых заявок на покупку превышает количество Облигаций, оставшихся неразмещенными, то данная заявка на покупку удовлетворяется в размере неразмещенного остатка Облигаций.</w:t>
      </w:r>
    </w:p>
    <w:p>
      <w:pPr>
        <w:pStyle w:val="Normal"/>
        <w:ind w:firstLine="709"/>
        <w:jc w:val="both"/>
        <w:rPr>
          <w:sz w:val="28"/>
          <w:szCs w:val="28"/>
        </w:rPr>
      </w:pPr>
      <w:r>
        <w:rPr>
          <w:sz w:val="28"/>
          <w:szCs w:val="28"/>
        </w:rPr>
        <w:t>Дальнейшее размещение Облигаций, если они не были полностью размещены в ходе конкурса, начинается в день проведения конкурса непосредственно после его окончания и проводится в течение периода размещения Облигаций путем удовлетворения заявок на покупку Облигаций, поданных в адрес Уполномоченного агента в соответствии с правилами Организатора торговли. Заявки на покупку Облигаций удовлетворяются в соответствии с указанием Эмитента Уполномоченному агенту по цене, указанной Эмитентом (равной номинальной стоимости Облигаций в дату начала размещения Облигаций, а начиная со второго дня размещения Облигаций – равной или отличной от нее).</w:t>
      </w:r>
    </w:p>
    <w:p>
      <w:pPr>
        <w:pStyle w:val="Normal"/>
        <w:ind w:firstLine="709"/>
        <w:jc w:val="both"/>
        <w:rPr>
          <w:sz w:val="28"/>
          <w:szCs w:val="28"/>
        </w:rPr>
      </w:pPr>
      <w:r>
        <w:rPr>
          <w:sz w:val="28"/>
          <w:szCs w:val="28"/>
        </w:rPr>
        <w:t>Начиная со второго дня размещения Облигаций, при совершении сделок купли-продажи дополнительно к цене покупки Облигаций покупатель уплачивает накопленный купонный доход, рассчитанный на дату совершения сделки по формуле, указанной в пункте 4.4 настоящих Условий;</w:t>
      </w:r>
    </w:p>
    <w:p>
      <w:pPr>
        <w:pStyle w:val="Normal"/>
        <w:ind w:firstLine="709"/>
        <w:jc w:val="both"/>
        <w:rPr>
          <w:sz w:val="28"/>
          <w:szCs w:val="28"/>
        </w:rPr>
      </w:pPr>
      <w:r>
        <w:rPr>
          <w:sz w:val="28"/>
          <w:szCs w:val="28"/>
        </w:rPr>
        <w:t>2) посредством заключения в соответствии с законодательством Российской Федерации, Генеральными условиями, настоящими Условиями и Решением об эмиссии сделок купли-продажи Облигаций между Эмитентом в лице Уполномоченного агента, действующего по поручению и за счет Эмитента, и первыми владельцами Облигаций у Организатора торговли в соответствии с правилами проведения торгов по ценным бумагам, установленными Организатором торговли, путем сбора адресных заявок со стороны потенциальных покупателей на приобретение Облигаций по цене размещения, равной номинальной стоимости Облигаций в дату начала размещения и равной или отличной от нее в последующие даты, и процентной ставке по первому купону, заранее определенной Эмитентом в порядке, указанном в настоящих Условиях и Решении об эмиссии.</w:t>
      </w:r>
    </w:p>
    <w:p>
      <w:pPr>
        <w:pStyle w:val="Normal"/>
        <w:ind w:firstLine="709"/>
        <w:jc w:val="both"/>
        <w:rPr>
          <w:sz w:val="28"/>
          <w:szCs w:val="28"/>
        </w:rPr>
      </w:pPr>
      <w:r>
        <w:rPr>
          <w:sz w:val="28"/>
          <w:szCs w:val="28"/>
        </w:rPr>
        <w:t>Размещение Облигаций путем сбора адресных заявок со стороны потенциальных покупателей на приобретение Облигаций по цене размещения, равной номинальной стоимости Облигаций в дату начала размещения и равной или отличной от нее в последующие даты, и процентной ставке по первому купону, заранее определенной Эмитентом в порядке, указанном в настоящих Условиях и Решении об эмиссии, предусматривает адресованное неопределенному кругу лиц приглашение делать предложение о приобретении Облигаций (далее – Оферта) и заключении сделок купли-продажи Облигаций с использованием системы торгов Организатора торговли по цене размещения, равной номинальной стоимости Облигаций в дату начала размещения и равной или отличной от нее в последующие даты, и процентной ставке по первому купону, заранее определенной Эмитентом в порядке, указанном в настоящих Условиях и Решении об эмиссии, и проводится в следующем порядке.</w:t>
      </w:r>
    </w:p>
    <w:p>
      <w:pPr>
        <w:pStyle w:val="Normal"/>
        <w:ind w:firstLine="709"/>
        <w:jc w:val="both"/>
        <w:rPr>
          <w:sz w:val="28"/>
          <w:szCs w:val="28"/>
        </w:rPr>
      </w:pPr>
      <w:r>
        <w:rPr>
          <w:sz w:val="28"/>
          <w:szCs w:val="28"/>
        </w:rPr>
        <w:t>Оферты направляются потенциальными покупателями в адрес Уполномоченного агента. Срок и порядок направления Оферт указываются в Решении об эмиссии. Уполномоченный агент раскрывает информацию о сроках направления Оферт на своем официальном сайте в информационно-телекоммуникационной сети «Интернет».</w:t>
      </w:r>
    </w:p>
    <w:p>
      <w:pPr>
        <w:pStyle w:val="Normal"/>
        <w:ind w:firstLine="709"/>
        <w:jc w:val="both"/>
        <w:rPr>
          <w:sz w:val="28"/>
          <w:szCs w:val="28"/>
        </w:rPr>
      </w:pPr>
      <w:r>
        <w:rPr>
          <w:sz w:val="28"/>
          <w:szCs w:val="28"/>
        </w:rPr>
        <w:t>Оферты могут быть акцептованы или отклонены. В случае акцепта Оферты потенциальный покупатель соглашается, что количество Облигаций, указанное в Оферте, может быть уменьшено Эмитентом.</w:t>
      </w:r>
    </w:p>
    <w:p>
      <w:pPr>
        <w:pStyle w:val="Normal"/>
        <w:ind w:firstLine="709"/>
        <w:jc w:val="both"/>
        <w:rPr>
          <w:sz w:val="28"/>
          <w:szCs w:val="28"/>
        </w:rPr>
      </w:pPr>
      <w:r>
        <w:rPr>
          <w:sz w:val="28"/>
          <w:szCs w:val="28"/>
        </w:rPr>
        <w:t>В направляемых Офертах потенциальные покупатели указывают максимальную сумму, на которую они готовы купить Облигации, количество Облигаций и минимальную процентную ставку по первому купону по Облигациям, при которой они готовы приобрести Облигации на указанную максимальную сумму.</w:t>
      </w:r>
    </w:p>
    <w:p>
      <w:pPr>
        <w:pStyle w:val="Normal"/>
        <w:ind w:firstLine="709"/>
        <w:jc w:val="both"/>
        <w:rPr>
          <w:sz w:val="28"/>
          <w:szCs w:val="28"/>
        </w:rPr>
      </w:pPr>
      <w:r>
        <w:rPr>
          <w:sz w:val="28"/>
          <w:szCs w:val="28"/>
        </w:rPr>
        <w:t>После окончания срока для направления Оферт Уполномоченный агент формирует и передает Эмитенту сводный реестр Оферт.</w:t>
      </w:r>
    </w:p>
    <w:p>
      <w:pPr>
        <w:pStyle w:val="Normal"/>
        <w:ind w:firstLine="709"/>
        <w:jc w:val="both"/>
        <w:rPr>
          <w:sz w:val="28"/>
          <w:szCs w:val="28"/>
        </w:rPr>
      </w:pPr>
      <w:r>
        <w:rPr>
          <w:sz w:val="28"/>
          <w:szCs w:val="28"/>
        </w:rPr>
        <w:t>На основании анализа реестра Оферт Эмитент:</w:t>
      </w:r>
    </w:p>
    <w:p>
      <w:pPr>
        <w:pStyle w:val="Normal"/>
        <w:ind w:firstLine="709"/>
        <w:jc w:val="both"/>
        <w:rPr>
          <w:sz w:val="28"/>
          <w:szCs w:val="28"/>
        </w:rPr>
      </w:pPr>
      <w:r>
        <w:rPr>
          <w:sz w:val="28"/>
          <w:szCs w:val="28"/>
        </w:rPr>
        <w:t>принимает решение о величине процентной ставки первого купона с учетом приемлемой стоимости заимствования;</w:t>
      </w:r>
    </w:p>
    <w:p>
      <w:pPr>
        <w:pStyle w:val="Normal"/>
        <w:ind w:firstLine="709"/>
        <w:jc w:val="both"/>
        <w:rPr>
          <w:sz w:val="28"/>
          <w:szCs w:val="28"/>
        </w:rPr>
      </w:pPr>
      <w:r>
        <w:rPr>
          <w:sz w:val="28"/>
          <w:szCs w:val="28"/>
        </w:rPr>
        <w:t>определяет потенциальных покупателей, которым он намеревается продать Облигации, а также количество Облигаций, которые он намеревается продать потенциальным покупателям.</w:t>
      </w:r>
    </w:p>
    <w:p>
      <w:pPr>
        <w:pStyle w:val="Normal"/>
        <w:ind w:firstLine="709"/>
        <w:jc w:val="both"/>
        <w:rPr>
          <w:sz w:val="28"/>
          <w:szCs w:val="28"/>
        </w:rPr>
      </w:pPr>
      <w:r>
        <w:rPr>
          <w:sz w:val="28"/>
          <w:szCs w:val="28"/>
        </w:rPr>
        <w:t>Эмитент передает информацию об акцепте Оферт Уполномоченному агенту.</w:t>
      </w:r>
    </w:p>
    <w:p>
      <w:pPr>
        <w:pStyle w:val="Normal"/>
        <w:ind w:firstLine="709"/>
        <w:jc w:val="both"/>
        <w:rPr>
          <w:sz w:val="28"/>
          <w:szCs w:val="28"/>
        </w:rPr>
      </w:pPr>
      <w:r>
        <w:rPr>
          <w:sz w:val="28"/>
          <w:szCs w:val="28"/>
        </w:rPr>
        <w:t>Информацию об установленной процентной ставке по первому купону, определенной в порядке, указанном в настоящих Условиях и в Решении об эмиссии, Эмитент размещает на своем официальном сайте в информационно-телекоммуникационной сети «Интернет» не позднее даты начала размещения выпуска Облигаций.</w:t>
      </w:r>
    </w:p>
    <w:p>
      <w:pPr>
        <w:pStyle w:val="Normal"/>
        <w:ind w:firstLine="709"/>
        <w:jc w:val="both"/>
        <w:rPr>
          <w:sz w:val="28"/>
          <w:szCs w:val="28"/>
        </w:rPr>
      </w:pPr>
      <w:r>
        <w:rPr>
          <w:sz w:val="28"/>
          <w:szCs w:val="28"/>
        </w:rPr>
        <w:t>Уполномоченный агент направляет акцепт на Оферты потенциальным покупателям, которые определены Эмитентом.</w:t>
      </w:r>
    </w:p>
    <w:p>
      <w:pPr>
        <w:pStyle w:val="Normal"/>
        <w:ind w:firstLine="709"/>
        <w:jc w:val="both"/>
        <w:rPr>
          <w:sz w:val="28"/>
          <w:szCs w:val="28"/>
        </w:rPr>
      </w:pPr>
      <w:r>
        <w:rPr>
          <w:sz w:val="28"/>
          <w:szCs w:val="28"/>
        </w:rPr>
        <w:t>Заключение сделок купли-продажи Облигаций осуществляется с использованием системы торгов Организатора торговли по цене размещения, равной номинальной стоимости Облигаций в дату начала размещения и равной или отличной от нее в последующие даты, и процентной ставке по первому купону, определенной Эмитентом в порядке, указанном в настоящих Условиях и в Решении об эмиссии.</w:t>
      </w:r>
    </w:p>
    <w:p>
      <w:pPr>
        <w:pStyle w:val="Normal"/>
        <w:ind w:firstLine="709"/>
        <w:jc w:val="both"/>
        <w:rPr>
          <w:sz w:val="28"/>
          <w:szCs w:val="28"/>
        </w:rPr>
      </w:pPr>
      <w:r>
        <w:rPr>
          <w:sz w:val="28"/>
          <w:szCs w:val="28"/>
        </w:rPr>
        <w:t>В дату начала размещения участники торгов Организатора торговли в течение периода подачи адресных заявок, установленного Организатором торговли, подают адресные заявки на приобретение Облигаций (далее – адресные заявки) с использованием системы торгов Организатора торговли как за свой счет, так и за счет и по поручению своих клиентов.</w:t>
      </w:r>
    </w:p>
    <w:p>
      <w:pPr>
        <w:pStyle w:val="Normal"/>
        <w:ind w:firstLine="709"/>
        <w:jc w:val="both"/>
        <w:rPr>
          <w:sz w:val="28"/>
          <w:szCs w:val="28"/>
        </w:rPr>
      </w:pPr>
      <w:r>
        <w:rPr>
          <w:sz w:val="28"/>
          <w:szCs w:val="28"/>
        </w:rPr>
        <w:t>Адресные заявки направляются участниками торгов в адрес Уполномоченного агента.</w:t>
      </w:r>
    </w:p>
    <w:p>
      <w:pPr>
        <w:pStyle w:val="Normal"/>
        <w:ind w:firstLine="709"/>
        <w:jc w:val="both"/>
        <w:rPr>
          <w:sz w:val="28"/>
          <w:szCs w:val="28"/>
        </w:rPr>
      </w:pPr>
      <w:r>
        <w:rPr>
          <w:sz w:val="28"/>
          <w:szCs w:val="28"/>
        </w:rPr>
        <w:t>Адресная заявка должна содержать следующие значимые условия:</w:t>
      </w:r>
    </w:p>
    <w:p>
      <w:pPr>
        <w:pStyle w:val="Normal"/>
        <w:ind w:firstLine="709"/>
        <w:jc w:val="both"/>
        <w:rPr>
          <w:sz w:val="28"/>
          <w:szCs w:val="28"/>
        </w:rPr>
      </w:pPr>
      <w:r>
        <w:rPr>
          <w:sz w:val="28"/>
          <w:szCs w:val="28"/>
        </w:rPr>
        <w:t>цену покупки – 100 (сто) процентов от номинальной стоимости Облигации;</w:t>
      </w:r>
    </w:p>
    <w:p>
      <w:pPr>
        <w:pStyle w:val="Normal"/>
        <w:ind w:firstLine="709"/>
        <w:jc w:val="both"/>
        <w:rPr>
          <w:sz w:val="28"/>
          <w:szCs w:val="28"/>
        </w:rPr>
      </w:pPr>
      <w:r>
        <w:rPr>
          <w:sz w:val="28"/>
          <w:szCs w:val="28"/>
        </w:rPr>
        <w:t>количество Облигаций;</w:t>
      </w:r>
    </w:p>
    <w:p>
      <w:pPr>
        <w:pStyle w:val="Normal"/>
        <w:ind w:firstLine="709"/>
        <w:jc w:val="both"/>
        <w:rPr>
          <w:sz w:val="28"/>
          <w:szCs w:val="28"/>
        </w:rPr>
      </w:pPr>
      <w:r>
        <w:rPr>
          <w:sz w:val="28"/>
          <w:szCs w:val="28"/>
        </w:rPr>
        <w:t>иную информацию в соответствии с нормативными документами Организатора торговли.</w:t>
      </w:r>
    </w:p>
    <w:p>
      <w:pPr>
        <w:pStyle w:val="Normal"/>
        <w:ind w:firstLine="709"/>
        <w:jc w:val="both"/>
        <w:rPr>
          <w:sz w:val="28"/>
          <w:szCs w:val="28"/>
        </w:rPr>
      </w:pPr>
      <w:r>
        <w:rPr>
          <w:sz w:val="28"/>
          <w:szCs w:val="28"/>
        </w:rPr>
        <w:t>Организатор торговли составляет сводный реестр адресных заявок, полученных в течение периода подачи адресных заявок, и передает его Уполномоченному агенту. Уполномоченный агент передает вышеуказанный сводный реестр Эмитенту.</w:t>
      </w:r>
    </w:p>
    <w:p>
      <w:pPr>
        <w:pStyle w:val="Normal"/>
        <w:ind w:firstLine="709"/>
        <w:jc w:val="both"/>
        <w:rPr>
          <w:sz w:val="28"/>
          <w:szCs w:val="28"/>
        </w:rPr>
      </w:pPr>
      <w:r>
        <w:rPr>
          <w:sz w:val="28"/>
          <w:szCs w:val="28"/>
        </w:rPr>
        <w:t>На основании анализа сводного реестра адресных заявок Эмитент принимает решение об удовлетворении адресных заявок, руководствуясь наличием акцепта Оферты.</w:t>
      </w:r>
    </w:p>
    <w:p>
      <w:pPr>
        <w:pStyle w:val="Normal"/>
        <w:ind w:firstLine="709"/>
        <w:jc w:val="both"/>
        <w:rPr>
          <w:sz w:val="28"/>
          <w:szCs w:val="28"/>
        </w:rPr>
      </w:pPr>
      <w:r>
        <w:rPr>
          <w:sz w:val="28"/>
          <w:szCs w:val="28"/>
        </w:rPr>
        <w:t>Эмитент передает Уполномоченному агенту информацию об адресных заявках, которые будут удовлетворены, а также количество Облигаций, которые он намеревается продать данным участникам торгов (далее – покупатели), после чего Уполномоченный агент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 согласно порядку, установленному настоящими Условиями, Решением об эмиссии и нормативными документами Организатора торговли.</w:t>
      </w:r>
    </w:p>
    <w:p>
      <w:pPr>
        <w:pStyle w:val="Normal"/>
        <w:ind w:firstLine="709"/>
        <w:jc w:val="both"/>
        <w:rPr>
          <w:sz w:val="28"/>
          <w:szCs w:val="28"/>
        </w:rPr>
      </w:pPr>
      <w:r>
        <w:rPr>
          <w:sz w:val="28"/>
          <w:szCs w:val="28"/>
        </w:rPr>
        <w:t>Заключение сделок купли-продажи Облигаций начинается в дату начала размещения Облигаций после окончания периода подачи адресных заявок по цене размещения, равной номинальной стоимости Облигаций и процентной ставке первого купона, заранее определенной Эмитентом в порядке, указанном в настоящих Условиях и в Решении об эмиссии, и заканчивается в дату окончания размещения Облигаций.</w:t>
      </w:r>
    </w:p>
    <w:p>
      <w:pPr>
        <w:pStyle w:val="Normal"/>
        <w:ind w:firstLine="709"/>
        <w:jc w:val="both"/>
        <w:rPr>
          <w:sz w:val="28"/>
          <w:szCs w:val="28"/>
        </w:rPr>
      </w:pPr>
      <w:r>
        <w:rPr>
          <w:sz w:val="28"/>
          <w:szCs w:val="28"/>
        </w:rPr>
        <w:t>В случае неполного размещения выпуска Облигаций дальнейшее размещение Облигаций начинается в дату начала размещения Облигаций непосредственно после окончания периода удовлетворения адресных заявок, установленного Организатором торговли, и проводится в течение всего периода размещения Облигаций путем удовлетворения адресных заявок на покупку Облигаций, поданных в адрес Уполномоченного агента в соответствии с правилами Организатора торговли. Адресные заявки на покупку Облигаций удовлетворяются в соответствии с указанием Эмитента Уполномоченному агенту по цене, указанной Эмитентом (равной номинальной стоимости Облигаций в дату начала размещения Облигаций, а начиная со второго дня размещения Облигаций – равной или отличной от нее).</w:t>
      </w:r>
    </w:p>
    <w:p>
      <w:pPr>
        <w:pStyle w:val="Normal"/>
        <w:ind w:firstLine="709"/>
        <w:jc w:val="both"/>
        <w:rPr>
          <w:sz w:val="28"/>
          <w:szCs w:val="28"/>
        </w:rPr>
      </w:pPr>
      <w:r>
        <w:rPr>
          <w:sz w:val="28"/>
          <w:szCs w:val="28"/>
        </w:rPr>
        <w:t>Начиная со второго дня размещения Облигаций, при совершении сделок купли-продажи дополнительно к цене покупки Облигаций покупатель уплачивает накопленный купонный доход, рассчитанный на дату совершения сделки по формуле, указанной в пункте 4.4 настоящих Условий;</w:t>
      </w:r>
    </w:p>
    <w:p>
      <w:pPr>
        <w:pStyle w:val="Normal"/>
        <w:ind w:firstLine="709"/>
        <w:jc w:val="both"/>
        <w:rPr>
          <w:sz w:val="28"/>
          <w:szCs w:val="28"/>
        </w:rPr>
      </w:pPr>
      <w:r>
        <w:rPr>
          <w:sz w:val="28"/>
          <w:szCs w:val="28"/>
        </w:rPr>
        <w:t>3) посредством заключения в соответствии с законодательством Российской Федерации, Генеральными условиями, настоящими Условиями и Решением об эмиссии сделок купли-продажи Облигаций между Эмитентом в лице Уполномоченного агента, действующего по поручению и за счет Эмитента, и первыми владельцами Облигаций на аукционе по определению цены размещения Облигаций, проводимом у Организатора торговли в соответствии с правилами проведения торгов по ценным бумагам, установленными Организатором торговли.</w:t>
      </w:r>
    </w:p>
    <w:p>
      <w:pPr>
        <w:pStyle w:val="Normal"/>
        <w:ind w:firstLine="709"/>
        <w:jc w:val="both"/>
        <w:rPr>
          <w:sz w:val="28"/>
          <w:szCs w:val="28"/>
        </w:rPr>
      </w:pPr>
      <w:r>
        <w:rPr>
          <w:sz w:val="28"/>
          <w:szCs w:val="28"/>
        </w:rPr>
        <w:t>В случае размещения Облигаций в форме проведения аукциона по определению цены размещения Облигаций со ставкой купонного дохода, заранее определенной Эмитентом в Решении об эмиссии, Эмитент не позднее чем за два рабочих дня до даты начала размещения Облигаций принимает решение о величине ставки купонного дохода. При этом в Решении об эмиссии должно содержаться указание, что ставка купонного дохода устанавливается Эмитентом и доводится до сведения потенциальных покупателей путем опубликования ставки купонного дохода на официальных сайтах в информационно-телекоммуникационной сети «Интернет» Эмитента и Уполномоченного агента не позднее чем за два рабочих дня до даты начала размещения.</w:t>
      </w:r>
    </w:p>
    <w:p>
      <w:pPr>
        <w:pStyle w:val="Normal"/>
        <w:ind w:firstLine="709"/>
        <w:jc w:val="both"/>
        <w:rPr>
          <w:sz w:val="28"/>
          <w:szCs w:val="28"/>
        </w:rPr>
      </w:pPr>
      <w:r>
        <w:rPr>
          <w:sz w:val="28"/>
          <w:szCs w:val="28"/>
        </w:rPr>
        <w:t>В дату начала размещения Облигаций проводится аукцион по определению цены размещения Облигаций (далее – аукцион).</w:t>
      </w:r>
    </w:p>
    <w:p>
      <w:pPr>
        <w:pStyle w:val="Normal"/>
        <w:ind w:firstLine="709"/>
        <w:jc w:val="both"/>
        <w:rPr>
          <w:sz w:val="28"/>
          <w:szCs w:val="28"/>
        </w:rPr>
      </w:pPr>
      <w:r>
        <w:rPr>
          <w:sz w:val="28"/>
          <w:szCs w:val="28"/>
        </w:rPr>
        <w:t>В день проведения аукциона участники торгов Организатора торговли подают заявки на покупку Облигаций на аукционе (далее – Заявка) с использованием системы торгов Организатора торговли как за свой счет, так и за счет и по поручению клиентов. Указанные Заявки подаются в течение периода, установленного Организатором торговли.</w:t>
      </w:r>
    </w:p>
    <w:p>
      <w:pPr>
        <w:pStyle w:val="Normal"/>
        <w:ind w:firstLine="709"/>
        <w:jc w:val="both"/>
        <w:rPr>
          <w:sz w:val="28"/>
          <w:szCs w:val="28"/>
        </w:rPr>
      </w:pPr>
      <w:r>
        <w:rPr>
          <w:sz w:val="28"/>
          <w:szCs w:val="28"/>
        </w:rPr>
        <w:t>Заявка должна содержать информацию о цене покупки (в процентах от номинальной стоимости Облигации), количестве приобретаемых Облигаций.</w:t>
      </w:r>
    </w:p>
    <w:p>
      <w:pPr>
        <w:pStyle w:val="Normal"/>
        <w:ind w:firstLine="709"/>
        <w:jc w:val="both"/>
        <w:rPr>
          <w:sz w:val="28"/>
          <w:szCs w:val="28"/>
        </w:rPr>
      </w:pPr>
      <w:r>
        <w:rPr>
          <w:sz w:val="28"/>
          <w:szCs w:val="28"/>
        </w:rPr>
        <w:t>Организатор торговли составляет сводный реестр Заявок, полученных в течение периода подачи Заявок, и передает его Уполномоченному агенту. Уполномоченный агент передает вышеуказанный сводный реестр Эмитенту.</w:t>
      </w:r>
    </w:p>
    <w:p>
      <w:pPr>
        <w:pStyle w:val="Normal"/>
        <w:ind w:firstLine="709"/>
        <w:jc w:val="both"/>
        <w:rPr>
          <w:sz w:val="28"/>
          <w:szCs w:val="28"/>
        </w:rPr>
      </w:pPr>
      <w:r>
        <w:rPr>
          <w:sz w:val="28"/>
          <w:szCs w:val="28"/>
        </w:rPr>
        <w:t>Эмитент определяет единую для всех покупателей цену размещения Облигаций на основании поданных Заявок на покупку Облигаций и с учетом приемлемой стоимости заимствования.</w:t>
      </w:r>
    </w:p>
    <w:p>
      <w:pPr>
        <w:pStyle w:val="Normal"/>
        <w:ind w:firstLine="709"/>
        <w:jc w:val="both"/>
        <w:rPr>
          <w:sz w:val="28"/>
          <w:szCs w:val="28"/>
        </w:rPr>
      </w:pPr>
      <w:r>
        <w:rPr>
          <w:sz w:val="28"/>
          <w:szCs w:val="28"/>
        </w:rPr>
        <w:t>Заявки удовлетворяются в случае, если цена покупки равна или выше единой цены размещения, определенной Эмитентом. Приоритетом пользуются Заявки с наибольшей ценой размещения Облигаций, то есть в первую очередь удовлетворяются Заявки, в которых указана наибольшая цена размещения Облигаций. Если с одинаковой ценой размещения Облигаций зарегистрировано несколько Заявок, то в первую очередь удовлетворяются Заявки, поданные ранее по времени.</w:t>
      </w:r>
    </w:p>
    <w:p>
      <w:pPr>
        <w:pStyle w:val="Normal"/>
        <w:ind w:firstLine="709"/>
        <w:jc w:val="both"/>
        <w:rPr>
          <w:sz w:val="28"/>
          <w:szCs w:val="28"/>
        </w:rPr>
      </w:pPr>
      <w:r>
        <w:rPr>
          <w:sz w:val="28"/>
          <w:szCs w:val="28"/>
        </w:rPr>
        <w:t>В случае, если объем последней из удовлетворяемых Заявок на покупку превышает количество Облигаций, оставшихся неразмещенными, то данная Заявка удовлетворяется в размере неразмещенного остатка Облигаций.</w:t>
      </w:r>
    </w:p>
    <w:p>
      <w:pPr>
        <w:pStyle w:val="Normal"/>
        <w:ind w:firstLine="709"/>
        <w:jc w:val="both"/>
        <w:rPr>
          <w:sz w:val="28"/>
          <w:szCs w:val="28"/>
        </w:rPr>
      </w:pPr>
      <w:r>
        <w:rPr>
          <w:sz w:val="28"/>
          <w:szCs w:val="28"/>
        </w:rPr>
        <w:t>Заключение сделок купли-продажи Облигаций начинается в дату начала размещения Облигаций после определения Эмитентом единой цены размещения по итогам аукциона и заканчивается в дату окончания размещения Облигаций.</w:t>
      </w:r>
    </w:p>
    <w:p>
      <w:pPr>
        <w:pStyle w:val="Normal"/>
        <w:ind w:firstLine="709"/>
        <w:jc w:val="both"/>
        <w:rPr>
          <w:sz w:val="28"/>
          <w:szCs w:val="28"/>
        </w:rPr>
      </w:pPr>
      <w:r>
        <w:rPr>
          <w:sz w:val="28"/>
          <w:szCs w:val="28"/>
        </w:rPr>
        <w:t>Дальнейшее размещение Облигаций, если они не были полностью размещены в ходе аукциона, начинается в день проведения аукциона непосредственно после его окончания и проводится в течение периода размещения Облигаций путем удовлетворения заявок на покупку Облигаций, поданных в адрес Уполномоченного агента в соответствии с правилами Организатора торговли. Заявки на покупку Облигаций удовлетворяются в соответствии с указанием Эмитента Уполномоченному агенту по цене, указанной Эмитентом.</w:t>
      </w:r>
    </w:p>
    <w:p>
      <w:pPr>
        <w:pStyle w:val="Normal"/>
        <w:ind w:firstLine="709"/>
        <w:jc w:val="both"/>
        <w:rPr>
          <w:sz w:val="28"/>
          <w:szCs w:val="28"/>
        </w:rPr>
      </w:pPr>
      <w:r>
        <w:rPr>
          <w:sz w:val="28"/>
          <w:szCs w:val="28"/>
        </w:rPr>
        <w:t>Начиная со второго дня размещения Облигаций, при совершении сделок купли-продажи дополнительно к цене покупки Облигаций покупатель уплачивает накопленный купонный доход, рассчитанный на дату совершения сделки по формуле, указанной в пункте 4.4 настоящих Условий.</w:t>
      </w:r>
    </w:p>
    <w:p>
      <w:pPr>
        <w:pStyle w:val="Normal"/>
        <w:ind w:firstLine="709"/>
        <w:jc w:val="both"/>
        <w:rPr>
          <w:sz w:val="28"/>
          <w:szCs w:val="28"/>
        </w:rPr>
      </w:pPr>
      <w:r>
        <w:rPr>
          <w:sz w:val="28"/>
          <w:szCs w:val="28"/>
        </w:rPr>
        <w:t>2.3. Конкретный способ размещения выпуска Облигаций и порядок его проведения определяются Эмитентом в Решении об эмиссии.</w:t>
      </w:r>
    </w:p>
    <w:p>
      <w:pPr>
        <w:pStyle w:val="Normal"/>
        <w:ind w:firstLine="709"/>
        <w:jc w:val="both"/>
        <w:rPr>
          <w:sz w:val="28"/>
          <w:szCs w:val="28"/>
        </w:rPr>
      </w:pPr>
      <w:r>
        <w:rPr>
          <w:sz w:val="28"/>
          <w:szCs w:val="28"/>
        </w:rPr>
        <w:t>2.4. Эмиссия Облигаций осуществляется выпусками. Каждому выпуску присваивается государственный регистрационный номер. В рамках одного выпуска Облигации равны между собой по объему предоставляемых ими прав.</w:t>
      </w:r>
    </w:p>
    <w:p>
      <w:pPr>
        <w:pStyle w:val="Normal"/>
        <w:ind w:firstLine="709"/>
        <w:jc w:val="both"/>
        <w:rPr>
          <w:sz w:val="28"/>
          <w:szCs w:val="28"/>
        </w:rPr>
      </w:pPr>
      <w:r>
        <w:rPr>
          <w:sz w:val="28"/>
          <w:szCs w:val="28"/>
        </w:rPr>
        <w:t>Выпуск Облигаций, отличающийся от одного из существующих выпусков Облигаций только датой выпуска (датой размещения или периодом размещения), признается частью существующего выпуска, и ему присваивается государственный регистрационный номер существующего выпуска  (дополнительный выпуск). Решение об эмиссии дополнительного выпуска должно содержать указание на то, что данный выпуск является дополнительным.</w:t>
      </w:r>
    </w:p>
    <w:p>
      <w:pPr>
        <w:pStyle w:val="Normal"/>
        <w:ind w:firstLine="709"/>
        <w:jc w:val="both"/>
        <w:rPr>
          <w:sz w:val="28"/>
          <w:szCs w:val="28"/>
        </w:rPr>
      </w:pPr>
      <w:r>
        <w:rPr>
          <w:sz w:val="28"/>
          <w:szCs w:val="28"/>
        </w:rPr>
        <w:t>2.5. Обращение Облигаций на вторичном рынке осуществляется путем заключения гражданско-правовых сделок как у Организатора торговли, так и вне Организатора торговли в соответствии с законодательством Российской Федерации, Генеральными условиями, настоящими Условиями и Решением об эмиссии.</w:t>
      </w:r>
    </w:p>
    <w:p>
      <w:pPr>
        <w:pStyle w:val="Normal"/>
        <w:ind w:firstLine="709"/>
        <w:jc w:val="both"/>
        <w:rPr>
          <w:sz w:val="28"/>
          <w:szCs w:val="28"/>
        </w:rPr>
      </w:pPr>
      <w:r>
        <w:rPr>
          <w:sz w:val="28"/>
          <w:szCs w:val="28"/>
        </w:rPr>
        <w:t>2.6. Все расчеты по Облигациям производятся в валюте Российской Федерации.</w:t>
      </w:r>
    </w:p>
    <w:p>
      <w:pPr>
        <w:pStyle w:val="Normal"/>
        <w:numPr>
          <w:ilvl w:val="0"/>
          <w:numId w:val="0"/>
        </w:numPr>
        <w:ind w:firstLine="540"/>
        <w:jc w:val="both"/>
        <w:outlineLvl w:val="1"/>
        <w:rPr>
          <w:sz w:val="28"/>
          <w:szCs w:val="28"/>
        </w:rPr>
      </w:pPr>
      <w:r>
        <w:rPr>
          <w:sz w:val="28"/>
          <w:szCs w:val="28"/>
        </w:rPr>
      </w:r>
    </w:p>
    <w:p>
      <w:pPr>
        <w:pStyle w:val="Normal"/>
        <w:numPr>
          <w:ilvl w:val="0"/>
          <w:numId w:val="0"/>
        </w:numPr>
        <w:jc w:val="center"/>
        <w:outlineLvl w:val="1"/>
        <w:rPr>
          <w:sz w:val="28"/>
          <w:szCs w:val="28"/>
        </w:rPr>
      </w:pPr>
      <w:r>
        <w:rPr>
          <w:sz w:val="28"/>
          <w:szCs w:val="28"/>
        </w:rPr>
        <w:t>3. Порядок осуществления прав, удостоверенных Облигациями</w:t>
      </w:r>
    </w:p>
    <w:p>
      <w:pPr>
        <w:pStyle w:val="Normal"/>
        <w:numPr>
          <w:ilvl w:val="0"/>
          <w:numId w:val="0"/>
        </w:numPr>
        <w:ind w:firstLine="540"/>
        <w:jc w:val="both"/>
        <w:outlineLvl w:val="1"/>
        <w:rPr>
          <w:color w:val="FF0000"/>
          <w:sz w:val="28"/>
          <w:szCs w:val="28"/>
        </w:rPr>
      </w:pPr>
      <w:r>
        <w:rPr>
          <w:color w:val="FF0000"/>
          <w:sz w:val="28"/>
          <w:szCs w:val="28"/>
        </w:rPr>
      </w:r>
    </w:p>
    <w:p>
      <w:pPr>
        <w:pStyle w:val="Normal"/>
        <w:numPr>
          <w:ilvl w:val="0"/>
          <w:numId w:val="0"/>
        </w:numPr>
        <w:ind w:firstLine="709"/>
        <w:jc w:val="both"/>
        <w:outlineLvl w:val="1"/>
        <w:rPr>
          <w:sz w:val="28"/>
          <w:szCs w:val="28"/>
        </w:rPr>
      </w:pPr>
      <w:r>
        <w:rPr>
          <w:sz w:val="28"/>
          <w:szCs w:val="28"/>
        </w:rPr>
        <w:t>3.1. Удостоверением права владельца на Облигации является выписка со счета депо в Уполномоченном депозитарии или Депозитариях.</w:t>
      </w:r>
    </w:p>
    <w:p>
      <w:pPr>
        <w:pStyle w:val="Normal"/>
        <w:numPr>
          <w:ilvl w:val="0"/>
          <w:numId w:val="0"/>
        </w:numPr>
        <w:ind w:firstLine="709"/>
        <w:jc w:val="both"/>
        <w:outlineLvl w:val="1"/>
        <w:rPr>
          <w:sz w:val="28"/>
          <w:szCs w:val="28"/>
        </w:rPr>
      </w:pPr>
      <w:r>
        <w:rPr>
          <w:sz w:val="28"/>
          <w:szCs w:val="28"/>
        </w:rPr>
        <w:t>Право собственности на Облигации переходит в момент осуществления приходной записи по счету депо приобретателя.</w:t>
      </w:r>
    </w:p>
    <w:p>
      <w:pPr>
        <w:pStyle w:val="Normal"/>
        <w:numPr>
          <w:ilvl w:val="0"/>
          <w:numId w:val="0"/>
        </w:numPr>
        <w:ind w:firstLine="709"/>
        <w:jc w:val="both"/>
        <w:outlineLvl w:val="1"/>
        <w:rPr>
          <w:sz w:val="28"/>
          <w:szCs w:val="28"/>
        </w:rPr>
      </w:pPr>
      <w:r>
        <w:rPr>
          <w:sz w:val="28"/>
          <w:szCs w:val="28"/>
        </w:rPr>
        <w:t>3.2. Владелец Облигации имеет право на получение ее номинальной стоимости в дату, установленную Решением об эмиссии.</w:t>
      </w:r>
    </w:p>
    <w:p>
      <w:pPr>
        <w:pStyle w:val="Normal"/>
        <w:numPr>
          <w:ilvl w:val="0"/>
          <w:numId w:val="0"/>
        </w:numPr>
        <w:ind w:firstLine="709"/>
        <w:jc w:val="both"/>
        <w:outlineLvl w:val="1"/>
        <w:rPr>
          <w:sz w:val="28"/>
          <w:szCs w:val="28"/>
        </w:rPr>
      </w:pPr>
      <w:r>
        <w:rPr>
          <w:sz w:val="28"/>
          <w:szCs w:val="28"/>
        </w:rPr>
        <w:t>3.3. Владелец Облигации имеет право на получение купонного дохода в установленные Решением об эмиссии даты купонных выплат.</w:t>
      </w:r>
    </w:p>
    <w:p>
      <w:pPr>
        <w:pStyle w:val="Normal"/>
        <w:numPr>
          <w:ilvl w:val="0"/>
          <w:numId w:val="0"/>
        </w:numPr>
        <w:ind w:firstLine="709"/>
        <w:jc w:val="both"/>
        <w:outlineLvl w:val="1"/>
        <w:rPr>
          <w:sz w:val="28"/>
          <w:szCs w:val="28"/>
        </w:rPr>
      </w:pPr>
      <w:r>
        <w:rPr>
          <w:sz w:val="28"/>
          <w:szCs w:val="28"/>
        </w:rPr>
        <w:t>3.4. Владельцы Облигаций имеют право владеть, пользоваться и распоряжаться принадлежащими им Облигациями в соответствии с законодательством Российской Федерации. Владельцы Облигаций могут совершать с Облигациями гражданско-правовые сделки в соответствии с законодательством Российской Федерации, Генеральными условиями, настоящими Условиями и Решением об эмиссии.</w:t>
      </w:r>
    </w:p>
    <w:p>
      <w:pPr>
        <w:pStyle w:val="Normal"/>
        <w:numPr>
          <w:ilvl w:val="0"/>
          <w:numId w:val="0"/>
        </w:numPr>
        <w:ind w:firstLine="709"/>
        <w:jc w:val="both"/>
        <w:outlineLvl w:val="1"/>
        <w:rPr>
          <w:sz w:val="28"/>
          <w:szCs w:val="28"/>
        </w:rPr>
      </w:pPr>
      <w:r>
        <w:rPr>
          <w:sz w:val="28"/>
          <w:szCs w:val="28"/>
        </w:rPr>
        <w:t>3.5. Эмитент обязуется обеспечить права владельцев Облигаций при соблюдении владельцами установленного законодательством Российской Федерации порядка осуществления этих прав.</w:t>
      </w:r>
    </w:p>
    <w:p>
      <w:pPr>
        <w:pStyle w:val="Normal"/>
        <w:numPr>
          <w:ilvl w:val="0"/>
          <w:numId w:val="0"/>
        </w:numPr>
        <w:ind w:firstLine="709"/>
        <w:jc w:val="center"/>
        <w:outlineLvl w:val="1"/>
        <w:rPr>
          <w:color w:val="FF0000"/>
          <w:sz w:val="28"/>
          <w:szCs w:val="28"/>
        </w:rPr>
      </w:pPr>
      <w:r>
        <w:rPr>
          <w:color w:val="FF0000"/>
          <w:sz w:val="28"/>
          <w:szCs w:val="28"/>
        </w:rPr>
      </w:r>
    </w:p>
    <w:p>
      <w:pPr>
        <w:pStyle w:val="Normal"/>
        <w:numPr>
          <w:ilvl w:val="0"/>
          <w:numId w:val="0"/>
        </w:numPr>
        <w:jc w:val="center"/>
        <w:outlineLvl w:val="1"/>
        <w:rPr>
          <w:sz w:val="28"/>
          <w:szCs w:val="28"/>
        </w:rPr>
      </w:pPr>
      <w:r>
        <w:rPr>
          <w:sz w:val="28"/>
          <w:szCs w:val="28"/>
        </w:rPr>
        <w:t>4. Порядок расчета размера дохода по Облигациям</w:t>
      </w:r>
    </w:p>
    <w:p>
      <w:pPr>
        <w:pStyle w:val="Normal"/>
        <w:numPr>
          <w:ilvl w:val="0"/>
          <w:numId w:val="0"/>
        </w:numPr>
        <w:ind w:firstLine="709"/>
        <w:jc w:val="both"/>
        <w:outlineLvl w:val="1"/>
        <w:rPr>
          <w:sz w:val="28"/>
          <w:szCs w:val="28"/>
        </w:rPr>
      </w:pPr>
      <w:r>
        <w:rPr>
          <w:sz w:val="28"/>
          <w:szCs w:val="28"/>
        </w:rPr>
      </w:r>
    </w:p>
    <w:p>
      <w:pPr>
        <w:pStyle w:val="Normal"/>
        <w:numPr>
          <w:ilvl w:val="0"/>
          <w:numId w:val="0"/>
        </w:numPr>
        <w:ind w:firstLine="709"/>
        <w:jc w:val="both"/>
        <w:outlineLvl w:val="1"/>
        <w:rPr>
          <w:sz w:val="28"/>
          <w:szCs w:val="28"/>
        </w:rPr>
      </w:pPr>
      <w:r>
        <w:rPr>
          <w:sz w:val="28"/>
          <w:szCs w:val="28"/>
        </w:rPr>
        <w:t>4.1. Доходом по Облигациям является фиксированный купонный доход, а также разница между ценой реализации (погашения) и ценой покупки Облигаций.</w:t>
      </w:r>
    </w:p>
    <w:p>
      <w:pPr>
        <w:pStyle w:val="Normal"/>
        <w:numPr>
          <w:ilvl w:val="0"/>
          <w:numId w:val="0"/>
        </w:numPr>
        <w:ind w:firstLine="709"/>
        <w:jc w:val="both"/>
        <w:outlineLvl w:val="1"/>
        <w:rPr>
          <w:sz w:val="28"/>
          <w:szCs w:val="28"/>
        </w:rPr>
      </w:pPr>
      <w:r>
        <w:rPr>
          <w:sz w:val="28"/>
          <w:szCs w:val="28"/>
        </w:rPr>
        <w:t>4.2. Купонный доход, как абсолютная величина в рублях, определяется исходя из размера купонной ставки в виде процента к номинальной стоимости Облигации и длительности купонного периода.</w:t>
      </w:r>
    </w:p>
    <w:p>
      <w:pPr>
        <w:pStyle w:val="Normal"/>
        <w:ind w:firstLine="709"/>
        <w:jc w:val="both"/>
        <w:rPr>
          <w:sz w:val="28"/>
          <w:szCs w:val="28"/>
        </w:rPr>
      </w:pPr>
      <w:r>
        <w:rPr>
          <w:sz w:val="28"/>
          <w:szCs w:val="28"/>
        </w:rPr>
        <w:t>В зависимости от выбранного Эмитентом в решении об эмиссии Облигаций конкурсного способа размещения Облигаций ставки купонного дохода по всем купонным периодам устанавливаются Эмитентом в решении о выпуске Облигаций или ставка купонного дохода на первый купонный период определяется Эмитентом на конкурсе, проводимом у Организатора торговли, или устанавливается Эмитентом на основании адресных заявок, полученных от участников размещения.</w:t>
      </w:r>
    </w:p>
    <w:p>
      <w:pPr>
        <w:pStyle w:val="Normal"/>
        <w:numPr>
          <w:ilvl w:val="0"/>
          <w:numId w:val="0"/>
        </w:numPr>
        <w:ind w:firstLine="709"/>
        <w:jc w:val="both"/>
        <w:outlineLvl w:val="1"/>
        <w:rPr>
          <w:sz w:val="28"/>
          <w:szCs w:val="28"/>
        </w:rPr>
      </w:pPr>
      <w:r>
        <w:rPr>
          <w:sz w:val="28"/>
          <w:szCs w:val="28"/>
        </w:rPr>
        <w:t>Даты начала купонных периодов и окончания купонных периодов, длительность купонных периодов устанавливаются Эмитентом в Решении об эмиссии.</w:t>
      </w:r>
    </w:p>
    <w:p>
      <w:pPr>
        <w:pStyle w:val="Normal"/>
        <w:numPr>
          <w:ilvl w:val="0"/>
          <w:numId w:val="0"/>
        </w:numPr>
        <w:ind w:firstLine="709"/>
        <w:jc w:val="both"/>
        <w:outlineLvl w:val="1"/>
        <w:rPr>
          <w:sz w:val="28"/>
          <w:szCs w:val="28"/>
        </w:rPr>
      </w:pPr>
      <w:r>
        <w:rPr>
          <w:sz w:val="28"/>
          <w:szCs w:val="28"/>
        </w:rPr>
        <w:t>Величина купонного дохода на одну Облигацию рассчитывается по формуле:</w:t>
      </w:r>
    </w:p>
    <w:p>
      <w:pPr>
        <w:pStyle w:val="Normal"/>
        <w:numPr>
          <w:ilvl w:val="0"/>
          <w:numId w:val="0"/>
        </w:numPr>
        <w:jc w:val="center"/>
        <w:outlineLvl w:val="1"/>
        <w:rPr>
          <w:sz w:val="28"/>
          <w:szCs w:val="28"/>
        </w:rPr>
      </w:pPr>
      <w:r>
        <w:rPr>
          <w:sz w:val="28"/>
          <w:szCs w:val="28"/>
          <w:lang w:val="en-US"/>
        </w:rPr>
        <w:t>R</w:t>
      </w:r>
      <w:r>
        <w:rPr>
          <w:sz w:val="28"/>
          <w:szCs w:val="28"/>
          <w:vertAlign w:val="subscript"/>
          <w:lang w:val="en-US"/>
        </w:rPr>
        <w:t>j</w:t>
      </w:r>
      <w:r>
        <w:rPr>
          <w:sz w:val="28"/>
          <w:szCs w:val="28"/>
        </w:rPr>
        <w:t xml:space="preserve"> = Сj х Тj х Nоm / (365 х 100%),</w:t>
      </w:r>
    </w:p>
    <w:p>
      <w:pPr>
        <w:pStyle w:val="Normal"/>
        <w:numPr>
          <w:ilvl w:val="0"/>
          <w:numId w:val="0"/>
        </w:numPr>
        <w:ind w:firstLine="709"/>
        <w:jc w:val="both"/>
        <w:outlineLvl w:val="1"/>
        <w:rPr>
          <w:sz w:val="28"/>
          <w:szCs w:val="28"/>
        </w:rPr>
      </w:pPr>
      <w:r>
        <w:rPr>
          <w:sz w:val="28"/>
          <w:szCs w:val="28"/>
        </w:rPr>
        <w:t>где:</w:t>
      </w:r>
    </w:p>
    <w:p>
      <w:pPr>
        <w:pStyle w:val="Normal"/>
        <w:numPr>
          <w:ilvl w:val="0"/>
          <w:numId w:val="0"/>
        </w:numPr>
        <w:ind w:firstLine="709"/>
        <w:jc w:val="both"/>
        <w:outlineLvl w:val="1"/>
        <w:rPr>
          <w:sz w:val="28"/>
          <w:szCs w:val="28"/>
        </w:rPr>
      </w:pPr>
      <w:r>
        <w:rPr>
          <w:sz w:val="28"/>
          <w:szCs w:val="28"/>
          <w:lang w:val="en-US"/>
        </w:rPr>
        <w:t>R</w:t>
      </w:r>
      <w:r>
        <w:rPr>
          <w:sz w:val="28"/>
          <w:szCs w:val="28"/>
          <w:vertAlign w:val="subscript"/>
          <w:lang w:val="en-US"/>
        </w:rPr>
        <w:t>j</w:t>
      </w:r>
      <w:r>
        <w:rPr>
          <w:sz w:val="28"/>
          <w:szCs w:val="28"/>
        </w:rPr>
        <w:t xml:space="preserve"> – величина купонного дохода за </w:t>
      </w:r>
      <w:r>
        <w:rPr>
          <w:sz w:val="28"/>
          <w:szCs w:val="28"/>
          <w:lang w:val="en-US"/>
        </w:rPr>
        <w:t>j</w:t>
      </w:r>
      <w:r>
        <w:rPr>
          <w:sz w:val="28"/>
          <w:szCs w:val="28"/>
        </w:rPr>
        <w:t>-й купонный период, в рублях;</w:t>
      </w:r>
    </w:p>
    <w:p>
      <w:pPr>
        <w:pStyle w:val="Normal"/>
        <w:numPr>
          <w:ilvl w:val="0"/>
          <w:numId w:val="0"/>
        </w:numPr>
        <w:ind w:firstLine="709"/>
        <w:jc w:val="both"/>
        <w:outlineLvl w:val="1"/>
        <w:rPr>
          <w:sz w:val="28"/>
          <w:szCs w:val="28"/>
        </w:rPr>
      </w:pPr>
      <w:r>
        <w:rPr>
          <w:sz w:val="28"/>
          <w:szCs w:val="28"/>
        </w:rPr>
        <w:t>Сj – размер процентной ставки j-го купона, в процентах годовых;</w:t>
      </w:r>
    </w:p>
    <w:p>
      <w:pPr>
        <w:pStyle w:val="Normal"/>
        <w:numPr>
          <w:ilvl w:val="0"/>
          <w:numId w:val="0"/>
        </w:numPr>
        <w:ind w:firstLine="709"/>
        <w:jc w:val="both"/>
        <w:outlineLvl w:val="1"/>
        <w:rPr>
          <w:sz w:val="28"/>
          <w:szCs w:val="28"/>
        </w:rPr>
      </w:pPr>
      <w:r>
        <w:rPr>
          <w:sz w:val="28"/>
          <w:szCs w:val="28"/>
        </w:rPr>
        <w:t>Тj – длительность j-го купонного периода, в днях;</w:t>
      </w:r>
    </w:p>
    <w:p>
      <w:pPr>
        <w:pStyle w:val="Normal"/>
        <w:numPr>
          <w:ilvl w:val="0"/>
          <w:numId w:val="0"/>
        </w:numPr>
        <w:ind w:firstLine="709"/>
        <w:jc w:val="both"/>
        <w:outlineLvl w:val="1"/>
        <w:rPr>
          <w:sz w:val="28"/>
          <w:szCs w:val="28"/>
        </w:rPr>
      </w:pPr>
      <w:r>
        <w:rPr>
          <w:sz w:val="28"/>
          <w:szCs w:val="28"/>
          <w:lang w:val="en-US"/>
        </w:rPr>
        <w:t>j</w:t>
      </w:r>
      <w:r>
        <w:rPr>
          <w:sz w:val="28"/>
          <w:szCs w:val="28"/>
        </w:rPr>
        <w:t xml:space="preserve"> – порядковый номер купонного периода; </w:t>
      </w:r>
    </w:p>
    <w:p>
      <w:pPr>
        <w:pStyle w:val="Normal"/>
        <w:numPr>
          <w:ilvl w:val="0"/>
          <w:numId w:val="0"/>
        </w:numPr>
        <w:ind w:firstLine="709"/>
        <w:jc w:val="both"/>
        <w:outlineLvl w:val="1"/>
        <w:rPr>
          <w:sz w:val="28"/>
          <w:szCs w:val="28"/>
        </w:rPr>
      </w:pPr>
      <w:r>
        <w:rPr>
          <w:sz w:val="28"/>
          <w:szCs w:val="28"/>
        </w:rPr>
        <w:t>Nоm – номинальная стоимость (непогашенная часть номинальной стоимости) одной Облигации, в рублях.</w:t>
      </w:r>
    </w:p>
    <w:p>
      <w:pPr>
        <w:pStyle w:val="Normal"/>
        <w:numPr>
          <w:ilvl w:val="0"/>
          <w:numId w:val="0"/>
        </w:numPr>
        <w:ind w:firstLine="709"/>
        <w:jc w:val="both"/>
        <w:outlineLvl w:val="1"/>
        <w:rPr>
          <w:sz w:val="28"/>
          <w:szCs w:val="28"/>
        </w:rPr>
      </w:pPr>
      <w:r>
        <w:rPr>
          <w:sz w:val="28"/>
          <w:szCs w:val="28"/>
        </w:rPr>
        <w:t>Сумма выплаты по купонам в расчете на одну Облигацию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pPr>
        <w:pStyle w:val="Normal"/>
        <w:numPr>
          <w:ilvl w:val="0"/>
          <w:numId w:val="0"/>
        </w:numPr>
        <w:ind w:firstLine="709"/>
        <w:jc w:val="both"/>
        <w:outlineLvl w:val="1"/>
        <w:rPr>
          <w:sz w:val="28"/>
          <w:szCs w:val="28"/>
        </w:rPr>
      </w:pPr>
      <w:r>
        <w:rPr>
          <w:sz w:val="28"/>
          <w:szCs w:val="28"/>
        </w:rPr>
        <w:t>Купонный доход по Облигациям, не размещенным на дату выплаты купонного дохода по Облигациям или переведенным на счет депо Эмитента в Уполномоченном депозитарии, предназначенный для учета прав на выпущенные им Облигации, не начисляется и не выплачивается.</w:t>
      </w:r>
    </w:p>
    <w:p>
      <w:pPr>
        <w:pStyle w:val="Normal"/>
        <w:numPr>
          <w:ilvl w:val="0"/>
          <w:numId w:val="0"/>
        </w:numPr>
        <w:ind w:firstLine="709"/>
        <w:jc w:val="both"/>
        <w:outlineLvl w:val="1"/>
        <w:rPr>
          <w:sz w:val="28"/>
          <w:szCs w:val="28"/>
        </w:rPr>
      </w:pPr>
      <w:r>
        <w:rPr>
          <w:sz w:val="28"/>
          <w:szCs w:val="28"/>
        </w:rPr>
        <w:t>4.3. При обращении Облигации образуется накопленный купонный доход – часть купонного дохода в виде процента к номинальной стоимости Облигации, рассчитываемого пропорционально количеству дней, прошедших с даты начала размещения Облигации (в случае 1-го купонного периода) или с даты выплаты предшествующего купонного дохода.</w:t>
      </w:r>
    </w:p>
    <w:p>
      <w:pPr>
        <w:pStyle w:val="Normal"/>
        <w:numPr>
          <w:ilvl w:val="0"/>
          <w:numId w:val="0"/>
        </w:numPr>
        <w:ind w:firstLine="709"/>
        <w:jc w:val="both"/>
        <w:outlineLvl w:val="1"/>
        <w:rPr>
          <w:sz w:val="28"/>
          <w:szCs w:val="28"/>
        </w:rPr>
      </w:pPr>
      <w:r>
        <w:rPr>
          <w:sz w:val="28"/>
          <w:szCs w:val="28"/>
        </w:rPr>
        <w:t>4.4. Величина накопленного купонного дохода по Облигациям на текущую дату рассчитывается по формуле:</w:t>
      </w:r>
    </w:p>
    <w:p>
      <w:pPr>
        <w:pStyle w:val="Normal"/>
        <w:numPr>
          <w:ilvl w:val="0"/>
          <w:numId w:val="0"/>
        </w:numPr>
        <w:jc w:val="center"/>
        <w:outlineLvl w:val="1"/>
        <w:rPr>
          <w:sz w:val="28"/>
          <w:szCs w:val="28"/>
        </w:rPr>
      </w:pPr>
      <w:r>
        <w:rPr>
          <w:sz w:val="28"/>
          <w:szCs w:val="28"/>
        </w:rPr>
        <w:t>НКД = Nоm х Сj х (Т - Т(j-1)) / 365 / 100%,</w:t>
      </w:r>
    </w:p>
    <w:p>
      <w:pPr>
        <w:pStyle w:val="Normal"/>
        <w:numPr>
          <w:ilvl w:val="0"/>
          <w:numId w:val="0"/>
        </w:numPr>
        <w:ind w:firstLine="709"/>
        <w:jc w:val="both"/>
        <w:outlineLvl w:val="1"/>
        <w:rPr>
          <w:sz w:val="28"/>
          <w:szCs w:val="28"/>
        </w:rPr>
      </w:pPr>
      <w:r>
        <w:rPr>
          <w:sz w:val="28"/>
          <w:szCs w:val="28"/>
        </w:rPr>
        <w:t>где:</w:t>
      </w:r>
    </w:p>
    <w:p>
      <w:pPr>
        <w:pStyle w:val="Normal"/>
        <w:numPr>
          <w:ilvl w:val="0"/>
          <w:numId w:val="0"/>
        </w:numPr>
        <w:ind w:firstLine="709"/>
        <w:jc w:val="both"/>
        <w:outlineLvl w:val="1"/>
        <w:rPr>
          <w:sz w:val="28"/>
          <w:szCs w:val="28"/>
        </w:rPr>
      </w:pPr>
      <w:r>
        <w:rPr>
          <w:sz w:val="28"/>
          <w:szCs w:val="28"/>
        </w:rPr>
        <w:t>НКД – накопленный купонный доход на одну Облигацию, в рублях;</w:t>
      </w:r>
    </w:p>
    <w:p>
      <w:pPr>
        <w:pStyle w:val="Normal"/>
        <w:numPr>
          <w:ilvl w:val="0"/>
          <w:numId w:val="0"/>
        </w:numPr>
        <w:ind w:firstLine="709"/>
        <w:jc w:val="both"/>
        <w:outlineLvl w:val="1"/>
        <w:rPr>
          <w:sz w:val="28"/>
          <w:szCs w:val="28"/>
        </w:rPr>
      </w:pPr>
      <w:r>
        <w:rPr>
          <w:sz w:val="28"/>
          <w:szCs w:val="28"/>
        </w:rPr>
        <w:t>Nоm – номинальная стоимость (непогашенная часть номинальной стоимости) одной Облигации, в рублях;</w:t>
      </w:r>
    </w:p>
    <w:p>
      <w:pPr>
        <w:pStyle w:val="Normal"/>
        <w:numPr>
          <w:ilvl w:val="0"/>
          <w:numId w:val="0"/>
        </w:numPr>
        <w:ind w:firstLine="709"/>
        <w:jc w:val="both"/>
        <w:outlineLvl w:val="1"/>
        <w:rPr>
          <w:sz w:val="28"/>
          <w:szCs w:val="28"/>
        </w:rPr>
      </w:pPr>
      <w:r>
        <w:rPr>
          <w:sz w:val="28"/>
          <w:szCs w:val="28"/>
        </w:rPr>
        <w:t>Сj – размер процентной ставки j-го купона, в процентах годовых;</w:t>
      </w:r>
    </w:p>
    <w:p>
      <w:pPr>
        <w:pStyle w:val="Normal"/>
        <w:numPr>
          <w:ilvl w:val="0"/>
          <w:numId w:val="0"/>
        </w:numPr>
        <w:ind w:firstLine="709"/>
        <w:jc w:val="both"/>
        <w:outlineLvl w:val="1"/>
        <w:rPr>
          <w:sz w:val="28"/>
          <w:szCs w:val="28"/>
        </w:rPr>
      </w:pPr>
      <w:r>
        <w:rPr>
          <w:sz w:val="28"/>
          <w:szCs w:val="28"/>
        </w:rPr>
        <w:t>Т – дата расчета накопленного купонного дохода внутри j-го купонного периода;</w:t>
      </w:r>
    </w:p>
    <w:p>
      <w:pPr>
        <w:pStyle w:val="Normal"/>
        <w:numPr>
          <w:ilvl w:val="0"/>
          <w:numId w:val="0"/>
        </w:numPr>
        <w:ind w:firstLine="709"/>
        <w:jc w:val="both"/>
        <w:outlineLvl w:val="1"/>
        <w:rPr>
          <w:sz w:val="28"/>
          <w:szCs w:val="28"/>
        </w:rPr>
      </w:pPr>
      <w:r>
        <w:rPr>
          <w:sz w:val="28"/>
          <w:szCs w:val="28"/>
        </w:rPr>
        <w:t>Т(j-1) – дата окончания предыдущего купонного периода (для первого купонного периода – дата начала размещения Облигаций);</w:t>
      </w:r>
    </w:p>
    <w:p>
      <w:pPr>
        <w:pStyle w:val="Normal"/>
        <w:numPr>
          <w:ilvl w:val="0"/>
          <w:numId w:val="0"/>
        </w:numPr>
        <w:ind w:firstLine="709"/>
        <w:jc w:val="both"/>
        <w:outlineLvl w:val="1"/>
        <w:rPr>
          <w:sz w:val="28"/>
          <w:szCs w:val="28"/>
        </w:rPr>
      </w:pPr>
      <w:r>
        <w:rPr>
          <w:sz w:val="28"/>
          <w:szCs w:val="28"/>
          <w:lang w:val="en-US"/>
        </w:rPr>
        <w:t>j</w:t>
      </w:r>
      <w:r>
        <w:rPr>
          <w:sz w:val="28"/>
          <w:szCs w:val="28"/>
        </w:rPr>
        <w:t xml:space="preserve"> – порядковый номер купонного периода.</w:t>
      </w:r>
    </w:p>
    <w:p>
      <w:pPr>
        <w:pStyle w:val="Normal"/>
        <w:numPr>
          <w:ilvl w:val="0"/>
          <w:numId w:val="0"/>
        </w:numPr>
        <w:ind w:firstLine="709"/>
        <w:jc w:val="both"/>
        <w:outlineLvl w:val="1"/>
        <w:rPr>
          <w:sz w:val="28"/>
          <w:szCs w:val="28"/>
        </w:rPr>
      </w:pPr>
      <w:r>
        <w:rPr>
          <w:sz w:val="28"/>
          <w:szCs w:val="28"/>
        </w:rPr>
        <w:t>Сумма выплаты по накопленному купонному доходу в расчете на одну Облигацию определяется с точностью до одной копейки (округление производится по правилам математического округления).</w:t>
      </w:r>
    </w:p>
    <w:p>
      <w:pPr>
        <w:pStyle w:val="Normal"/>
        <w:numPr>
          <w:ilvl w:val="0"/>
          <w:numId w:val="0"/>
        </w:numPr>
        <w:ind w:firstLine="709"/>
        <w:jc w:val="both"/>
        <w:outlineLvl w:val="1"/>
        <w:rPr>
          <w:sz w:val="28"/>
          <w:szCs w:val="28"/>
        </w:rPr>
      </w:pPr>
      <w:r>
        <w:rPr>
          <w:sz w:val="28"/>
          <w:szCs w:val="28"/>
        </w:rPr>
      </w:r>
    </w:p>
    <w:p>
      <w:pPr>
        <w:pStyle w:val="Normal"/>
        <w:numPr>
          <w:ilvl w:val="0"/>
          <w:numId w:val="0"/>
        </w:numPr>
        <w:jc w:val="center"/>
        <w:outlineLvl w:val="1"/>
        <w:rPr>
          <w:sz w:val="28"/>
          <w:szCs w:val="28"/>
        </w:rPr>
      </w:pPr>
      <w:r>
        <w:rPr>
          <w:sz w:val="28"/>
          <w:szCs w:val="28"/>
        </w:rPr>
        <w:t>5. Порядок погашения Облигаций и выплаты купонного дохода</w:t>
      </w:r>
    </w:p>
    <w:p>
      <w:pPr>
        <w:pStyle w:val="Normal"/>
        <w:numPr>
          <w:ilvl w:val="0"/>
          <w:numId w:val="0"/>
        </w:numPr>
        <w:ind w:firstLine="709"/>
        <w:jc w:val="center"/>
        <w:outlineLvl w:val="1"/>
        <w:rPr>
          <w:sz w:val="28"/>
          <w:szCs w:val="28"/>
        </w:rPr>
      </w:pPr>
      <w:r>
        <w:rPr>
          <w:sz w:val="28"/>
          <w:szCs w:val="28"/>
        </w:rPr>
      </w:r>
    </w:p>
    <w:p>
      <w:pPr>
        <w:pStyle w:val="Normal"/>
        <w:numPr>
          <w:ilvl w:val="0"/>
          <w:numId w:val="0"/>
        </w:numPr>
        <w:ind w:firstLine="709"/>
        <w:jc w:val="both"/>
        <w:outlineLvl w:val="1"/>
        <w:rPr>
          <w:sz w:val="28"/>
          <w:szCs w:val="28"/>
        </w:rPr>
      </w:pPr>
      <w:r>
        <w:rPr>
          <w:sz w:val="28"/>
          <w:szCs w:val="28"/>
        </w:rPr>
        <w:t xml:space="preserve">5.1. Погашение номинальной стоимости Облигаций осуществляется частями (далее – амортизация долга) в даты, установленные в Решении об эмиссии и совпадающие с датами выплаты купонного дохода по Облигациям (далее – дата амортизации долга). </w:t>
      </w:r>
    </w:p>
    <w:p>
      <w:pPr>
        <w:pStyle w:val="Normal"/>
        <w:numPr>
          <w:ilvl w:val="0"/>
          <w:numId w:val="0"/>
        </w:numPr>
        <w:ind w:firstLine="709"/>
        <w:jc w:val="both"/>
        <w:outlineLvl w:val="1"/>
        <w:rPr>
          <w:sz w:val="28"/>
          <w:szCs w:val="28"/>
        </w:rPr>
      </w:pPr>
      <w:r>
        <w:rPr>
          <w:sz w:val="28"/>
          <w:szCs w:val="28"/>
        </w:rPr>
        <w:t>Размер погашаемой части номинальной стоимости Облигаций определяется на каждую дату амортизации долга Решением об эмиссии. Датой погашения Облигаций является дата выплаты последней непогашенной части номинальной стоимости Облигаций.</w:t>
      </w:r>
    </w:p>
    <w:p>
      <w:pPr>
        <w:pStyle w:val="Normal"/>
        <w:numPr>
          <w:ilvl w:val="0"/>
          <w:numId w:val="0"/>
        </w:numPr>
        <w:ind w:firstLine="709"/>
        <w:jc w:val="both"/>
        <w:outlineLvl w:val="1"/>
        <w:rPr>
          <w:sz w:val="28"/>
          <w:szCs w:val="28"/>
        </w:rPr>
      </w:pPr>
      <w:r>
        <w:rPr>
          <w:sz w:val="28"/>
          <w:szCs w:val="28"/>
        </w:rPr>
        <w:t>5.2. Выплата погашаемой номинальной стоимости Облигаций производится в валюте Российской Федерации в безналичном порядке.</w:t>
      </w:r>
    </w:p>
    <w:p>
      <w:pPr>
        <w:pStyle w:val="Normal"/>
        <w:ind w:firstLine="709"/>
        <w:jc w:val="both"/>
        <w:rPr>
          <w:sz w:val="28"/>
          <w:szCs w:val="28"/>
        </w:rPr>
      </w:pPr>
      <w:r>
        <w:rPr>
          <w:sz w:val="28"/>
          <w:szCs w:val="28"/>
        </w:rPr>
        <w:t>Владельцы и иные лица, осуществляющие в соответствии с законодательством Российской Федерации права по Облигациям, получают выплаты погашаемой номинальной стоимости Облигаций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pPr>
        <w:pStyle w:val="Normal"/>
        <w:ind w:firstLine="709"/>
        <w:jc w:val="both"/>
        <w:rPr>
          <w:sz w:val="28"/>
          <w:szCs w:val="28"/>
        </w:rPr>
      </w:pPr>
      <w:r>
        <w:rPr>
          <w:sz w:val="28"/>
          <w:szCs w:val="28"/>
        </w:rPr>
        <w:t>Эмитент исполняет обязанность по осуществлению выплат погашаемой номинальной стоимости Облигаций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специальный депозитарный счет Уполномоченного депозитария (счет депозитария, являющегося кредитной организацией).</w:t>
      </w:r>
    </w:p>
    <w:p>
      <w:pPr>
        <w:pStyle w:val="Normal"/>
        <w:ind w:firstLine="709"/>
        <w:jc w:val="both"/>
        <w:rPr>
          <w:sz w:val="28"/>
          <w:szCs w:val="28"/>
        </w:rPr>
      </w:pPr>
      <w:r>
        <w:rPr>
          <w:sz w:val="28"/>
          <w:szCs w:val="28"/>
        </w:rPr>
        <w:t>Выплаты погашаемой номинальной стоимости Облигаций осуществляются в соответствии с порядком, установленным настоящими Условиями, Решением об эмиссии и требованиями законодательства Российской Федерации.</w:t>
      </w:r>
    </w:p>
    <w:p>
      <w:pPr>
        <w:pStyle w:val="Normal"/>
        <w:ind w:firstLine="709"/>
        <w:jc w:val="both"/>
        <w:rPr>
          <w:sz w:val="28"/>
          <w:szCs w:val="28"/>
        </w:rPr>
      </w:pPr>
      <w:r>
        <w:rPr>
          <w:sz w:val="28"/>
          <w:szCs w:val="28"/>
        </w:rPr>
        <w:t>5.3. Выплата купонного дохода производится в валюте Российской Федерации в безналичном порядке.</w:t>
      </w:r>
    </w:p>
    <w:p>
      <w:pPr>
        <w:pStyle w:val="Normal"/>
        <w:ind w:firstLine="709"/>
        <w:jc w:val="both"/>
        <w:rPr>
          <w:sz w:val="28"/>
          <w:szCs w:val="28"/>
        </w:rPr>
      </w:pPr>
      <w:r>
        <w:rPr>
          <w:sz w:val="28"/>
          <w:szCs w:val="28"/>
        </w:rPr>
        <w:t>Владельцы и иные лица, осуществляющие в соответствии с законодательством Российской Федерации права по Облигациям, получают купонный доход по Облигациям через депозитарий, осуществляющий учет прав на Облигации,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pPr>
        <w:pStyle w:val="Normal"/>
        <w:ind w:firstLine="709"/>
        <w:jc w:val="both"/>
        <w:rPr>
          <w:sz w:val="28"/>
          <w:szCs w:val="28"/>
        </w:rPr>
      </w:pPr>
      <w:r>
        <w:rPr>
          <w:sz w:val="28"/>
          <w:szCs w:val="28"/>
        </w:rPr>
        <w:t>Эмитент исполняет обязанность по осуществлению выплат купонного дохода по Облигациям путем перечисления денежных средств Уполномоченному депозитарию. Указанная обязанность считается исполненной Эмитентом с даты поступления денежных средств на специальный депозитарный счет Уполномоченного депозитария (счет депозитария, являющегося кредитной организацией).</w:t>
      </w:r>
    </w:p>
    <w:p>
      <w:pPr>
        <w:pStyle w:val="Normal"/>
        <w:ind w:firstLine="709"/>
        <w:jc w:val="both"/>
        <w:rPr>
          <w:sz w:val="28"/>
          <w:szCs w:val="28"/>
        </w:rPr>
      </w:pPr>
      <w:r>
        <w:rPr>
          <w:sz w:val="28"/>
          <w:szCs w:val="28"/>
        </w:rPr>
        <w:t>Выплаты купонного дохода по Облигациям осуществляются в соответствии с порядком, установленным настоящими Условиями, Решением об эмиссии и требованиями законодательства Российской Федерации.</w:t>
      </w:r>
    </w:p>
    <w:p>
      <w:pPr>
        <w:pStyle w:val="Normal"/>
        <w:ind w:firstLine="709"/>
        <w:jc w:val="both"/>
        <w:rPr>
          <w:sz w:val="28"/>
          <w:szCs w:val="28"/>
        </w:rPr>
      </w:pPr>
      <w:r>
        <w:rPr>
          <w:sz w:val="28"/>
          <w:szCs w:val="28"/>
        </w:rPr>
        <w:t>5.4. Если дата выплаты купонного дохода и (или) дата погашения номинальной стоимости Облигаций выпадают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выплата надлежащей суммы производится в первый рабочий день, следующий за нерабочим праздничным или выходным днем. Владельцы Облигаций не имеют права требовать начисления процентов или какой-либо иной компенсации за такую задержку в платеже.</w:t>
      </w:r>
    </w:p>
    <w:p>
      <w:pPr>
        <w:pStyle w:val="Normal"/>
        <w:ind w:firstLine="709"/>
        <w:jc w:val="both"/>
        <w:rPr>
          <w:sz w:val="28"/>
          <w:szCs w:val="28"/>
        </w:rPr>
      </w:pPr>
      <w:r>
        <w:rPr>
          <w:sz w:val="28"/>
          <w:szCs w:val="28"/>
        </w:rPr>
        <w:t>5.5. Эмитент Облигаций вправе осуществлять выкуп размещенных Облигаций до даты их погашения с возможностью их последующего обращения с соблюдением требований (в том числе по определению цены выкупа), установленных законодательством Российской Федерации.</w:t>
      </w:r>
    </w:p>
    <w:p>
      <w:pPr>
        <w:pStyle w:val="Normal"/>
        <w:ind w:firstLine="709"/>
        <w:jc w:val="both"/>
        <w:rPr>
          <w:sz w:val="28"/>
          <w:szCs w:val="28"/>
        </w:rPr>
      </w:pPr>
      <w:r>
        <w:rPr>
          <w:sz w:val="28"/>
          <w:szCs w:val="28"/>
        </w:rPr>
        <w:t>Выкуп Облигаций осуществляется на вторичных торгах как вне Организатора торговли, так и у Организатора торговли в соответствии с нормативными документами Организатора торговли путем заключения сделок купли-продажи Облигаций между Эмитентом или Эмитентом в лице Уполномоченного агента, действующего по поручению и за счет Эмитента, и владельцами Облигаций, подавшими заявки на продажу Облигаций.</w:t>
      </w:r>
    </w:p>
    <w:p>
      <w:pPr>
        <w:pStyle w:val="Normal"/>
        <w:ind w:firstLine="709"/>
        <w:jc w:val="both"/>
        <w:rPr>
          <w:sz w:val="28"/>
          <w:szCs w:val="28"/>
        </w:rPr>
      </w:pPr>
      <w:r>
        <w:rPr>
          <w:sz w:val="28"/>
          <w:szCs w:val="28"/>
        </w:rPr>
        <w:t>Эмитент Облигаций в соответствии с параметрами, установленными законом Рязанской области об областном бюджете на соответствующий финансовый год и плановый период, и с учетом текущей рыночной цены Облигаций, но не более номинальной стоимости Облигаций, устанавливает цену выкупа Облигаций, по которой заключаются сделки купли-продажи Облигаций.</w:t>
      </w:r>
    </w:p>
    <w:p>
      <w:pPr>
        <w:pStyle w:val="Normal"/>
        <w:ind w:firstLine="709"/>
        <w:jc w:val="both"/>
        <w:rPr>
          <w:sz w:val="28"/>
          <w:szCs w:val="28"/>
        </w:rPr>
      </w:pPr>
      <w:r>
        <w:rPr>
          <w:sz w:val="28"/>
          <w:szCs w:val="28"/>
        </w:rPr>
        <w:t>Порядок выкупа размещенных Облигаций до даты их погашения с возможностью их последующего обращения устанавливается в Решении об эмиссии.</w:t>
      </w:r>
    </w:p>
    <w:p>
      <w:pPr>
        <w:pStyle w:val="Normal"/>
        <w:ind w:firstLine="709"/>
        <w:jc w:val="both"/>
        <w:rPr>
          <w:sz w:val="28"/>
          <w:szCs w:val="28"/>
        </w:rPr>
      </w:pPr>
      <w:r>
        <w:rPr>
          <w:sz w:val="28"/>
          <w:szCs w:val="28"/>
        </w:rPr>
        <w:t xml:space="preserve">Эмитент Облигаций вправе выпускать выкупленные Облигации в последующее обращение в течение всего срока обращения Облигаций. </w:t>
      </w:r>
    </w:p>
    <w:p>
      <w:pPr>
        <w:pStyle w:val="Normal"/>
        <w:ind w:firstLine="709"/>
        <w:jc w:val="both"/>
        <w:rPr>
          <w:sz w:val="28"/>
          <w:szCs w:val="28"/>
        </w:rPr>
      </w:pPr>
      <w:r>
        <w:rPr>
          <w:sz w:val="28"/>
          <w:szCs w:val="28"/>
        </w:rPr>
        <w:t>5.6. Решением об эмиссии может быть предусмотрено право Эмитента на досрочное погашение Облигаций в установленные Решением об эмиссии даты возможного досрочного погашения. Эмитент объявляет о досрочном погашении Облигаций не позднее, чем за 30 (тридцать) календарных дней до установленной в Решении об эмиссии даты возможного досрочного погашения Облигаций. Досрочному погашению подлежат все Облигации соответствующего выпуска, находящиеся в обращении.</w:t>
      </w:r>
    </w:p>
    <w:p>
      <w:pPr>
        <w:pStyle w:val="Normal"/>
        <w:ind w:firstLine="709"/>
        <w:jc w:val="both"/>
        <w:rPr>
          <w:sz w:val="28"/>
          <w:szCs w:val="28"/>
        </w:rPr>
      </w:pPr>
      <w:r>
        <w:rPr>
          <w:sz w:val="28"/>
          <w:szCs w:val="28"/>
        </w:rPr>
      </w:r>
    </w:p>
    <w:p>
      <w:pPr>
        <w:pStyle w:val="Normal"/>
        <w:numPr>
          <w:ilvl w:val="0"/>
          <w:numId w:val="0"/>
        </w:numPr>
        <w:jc w:val="center"/>
        <w:outlineLvl w:val="1"/>
        <w:rPr>
          <w:sz w:val="28"/>
          <w:szCs w:val="28"/>
        </w:rPr>
      </w:pPr>
      <w:r>
        <w:rPr>
          <w:sz w:val="28"/>
          <w:szCs w:val="28"/>
        </w:rPr>
        <w:t>6. Иные существенные условия эмиссии Облигаций</w:t>
      </w:r>
    </w:p>
    <w:p>
      <w:pPr>
        <w:pStyle w:val="Normal"/>
        <w:numPr>
          <w:ilvl w:val="0"/>
          <w:numId w:val="0"/>
        </w:numPr>
        <w:ind w:firstLine="709"/>
        <w:jc w:val="both"/>
        <w:outlineLvl w:val="1"/>
        <w:rPr>
          <w:sz w:val="28"/>
          <w:szCs w:val="28"/>
        </w:rPr>
      </w:pPr>
      <w:r>
        <w:rPr>
          <w:sz w:val="28"/>
          <w:szCs w:val="28"/>
        </w:rPr>
      </w:r>
    </w:p>
    <w:p>
      <w:pPr>
        <w:pStyle w:val="Normal"/>
        <w:ind w:firstLine="709"/>
        <w:jc w:val="both"/>
        <w:rPr>
          <w:sz w:val="28"/>
          <w:szCs w:val="28"/>
        </w:rPr>
      </w:pPr>
      <w:r>
        <w:rPr>
          <w:sz w:val="28"/>
          <w:szCs w:val="28"/>
        </w:rPr>
        <w:t>6.1. Налогообложение доходов от операций с Облигациями осуществляется в соответствии с Налоговым кодексом Российской Федерации.</w:t>
      </w:r>
    </w:p>
    <w:p>
      <w:pPr>
        <w:pStyle w:val="Normal"/>
        <w:tabs>
          <w:tab w:val="left" w:pos="1276" w:leader="none"/>
        </w:tabs>
        <w:ind w:firstLine="720"/>
        <w:jc w:val="both"/>
        <w:rPr>
          <w:sz w:val="28"/>
          <w:szCs w:val="28"/>
        </w:rPr>
      </w:pPr>
      <w:r>
        <w:rPr>
          <w:sz w:val="28"/>
          <w:szCs w:val="28"/>
        </w:rPr>
        <w:t>6.2. Вопросы эмиссии, обращения и погашения Облигаций, не урегулированные Генеральными условиями, настоящими Условиями и Решением об эмиссии, регламентируются Эмитентом в соответствии с законодательством Российской Федерации.</w:t>
      </w:r>
    </w:p>
    <w:p>
      <w:pPr>
        <w:pStyle w:val="Normal"/>
        <w:numPr>
          <w:ilvl w:val="0"/>
          <w:numId w:val="0"/>
        </w:numPr>
        <w:ind w:firstLine="709"/>
        <w:jc w:val="both"/>
        <w:outlineLvl w:val="1"/>
        <w:rPr>
          <w:color w:val="FF0000"/>
          <w:sz w:val="28"/>
          <w:szCs w:val="28"/>
        </w:rPr>
      </w:pPr>
      <w:r>
        <w:rPr>
          <w:color w:val="FF0000"/>
          <w:sz w:val="28"/>
          <w:szCs w:val="28"/>
        </w:rPr>
      </w:r>
    </w:p>
    <w:p>
      <w:pPr>
        <w:pStyle w:val="Normal"/>
        <w:numPr>
          <w:ilvl w:val="0"/>
          <w:numId w:val="0"/>
        </w:numPr>
        <w:jc w:val="center"/>
        <w:outlineLvl w:val="1"/>
        <w:rPr>
          <w:sz w:val="28"/>
          <w:szCs w:val="28"/>
        </w:rPr>
      </w:pPr>
      <w:r>
        <w:rPr>
          <w:sz w:val="28"/>
          <w:szCs w:val="28"/>
        </w:rPr>
        <w:t>7. Информация об Эмитенте</w:t>
      </w:r>
    </w:p>
    <w:p>
      <w:pPr>
        <w:pStyle w:val="Normal"/>
        <w:numPr>
          <w:ilvl w:val="0"/>
          <w:numId w:val="0"/>
        </w:numPr>
        <w:ind w:firstLine="709"/>
        <w:jc w:val="both"/>
        <w:outlineLvl w:val="1"/>
        <w:rPr>
          <w:sz w:val="28"/>
          <w:szCs w:val="28"/>
        </w:rPr>
      </w:pPr>
      <w:r>
        <w:rPr>
          <w:sz w:val="28"/>
          <w:szCs w:val="28"/>
        </w:rPr>
      </w:r>
    </w:p>
    <w:p>
      <w:pPr>
        <w:pStyle w:val="Normal"/>
        <w:numPr>
          <w:ilvl w:val="0"/>
          <w:numId w:val="0"/>
        </w:numPr>
        <w:ind w:firstLine="709"/>
        <w:jc w:val="both"/>
        <w:outlineLvl w:val="1"/>
        <w:rPr>
          <w:sz w:val="28"/>
          <w:szCs w:val="28"/>
        </w:rPr>
      </w:pPr>
      <w:r>
        <w:rPr>
          <w:sz w:val="28"/>
          <w:szCs w:val="28"/>
        </w:rPr>
        <w:t xml:space="preserve">7.1. В соответствии с Законом Рязанской области от 26.12.2020 </w:t>
        <w:br/>
        <w:t>№ 100-ОЗ «Об областном бюджете на 2021 год и на плановый период 2022 и 2023 годов» установлены следующие параметры областного бюджета на 2021 год:</w:t>
      </w:r>
    </w:p>
    <w:p>
      <w:pPr>
        <w:pStyle w:val="Normal"/>
        <w:numPr>
          <w:ilvl w:val="0"/>
          <w:numId w:val="0"/>
        </w:numPr>
        <w:ind w:firstLine="709"/>
        <w:jc w:val="both"/>
        <w:outlineLvl w:val="1"/>
        <w:rPr>
          <w:sz w:val="28"/>
          <w:szCs w:val="28"/>
        </w:rPr>
      </w:pPr>
      <w:r>
        <w:rPr>
          <w:sz w:val="28"/>
          <w:szCs w:val="28"/>
        </w:rPr>
        <w:t>общий объем доходов – 67 310 812 726,09 рубля, в том числе объем безвозмездных поступлений – 22 018 800 262,88 рубля, из них объем межбюджетных трансфертов, получаемых из других бюджетов бюджетной системы Российской Федерации, – 21 683 751 539,90 рубля;</w:t>
      </w:r>
    </w:p>
    <w:p>
      <w:pPr>
        <w:pStyle w:val="Normal"/>
        <w:numPr>
          <w:ilvl w:val="0"/>
          <w:numId w:val="0"/>
        </w:numPr>
        <w:ind w:firstLine="709"/>
        <w:jc w:val="both"/>
        <w:outlineLvl w:val="1"/>
        <w:rPr>
          <w:sz w:val="28"/>
          <w:szCs w:val="28"/>
        </w:rPr>
      </w:pPr>
      <w:r>
        <w:rPr>
          <w:sz w:val="28"/>
          <w:szCs w:val="28"/>
        </w:rPr>
        <w:t>общий объем расходов – 70 126 101 438,03 рубля, из них объем расходов на обслуживание государственного долга Рязанской области – 811 347 364,95 рубля;</w:t>
      </w:r>
    </w:p>
    <w:p>
      <w:pPr>
        <w:pStyle w:val="Normal"/>
        <w:numPr>
          <w:ilvl w:val="0"/>
          <w:numId w:val="0"/>
        </w:numPr>
        <w:ind w:firstLine="709"/>
        <w:jc w:val="both"/>
        <w:outlineLvl w:val="1"/>
        <w:rPr>
          <w:sz w:val="28"/>
          <w:szCs w:val="28"/>
        </w:rPr>
      </w:pPr>
      <w:r>
        <w:rPr>
          <w:sz w:val="28"/>
          <w:szCs w:val="28"/>
        </w:rPr>
        <w:t xml:space="preserve">дефицит областного бюджета – 2 815 288 711,94 рубля;  </w:t>
      </w:r>
    </w:p>
    <w:p>
      <w:pPr>
        <w:pStyle w:val="Normal"/>
        <w:numPr>
          <w:ilvl w:val="0"/>
          <w:numId w:val="0"/>
        </w:numPr>
        <w:ind w:firstLine="709"/>
        <w:jc w:val="both"/>
        <w:outlineLvl w:val="1"/>
        <w:rPr>
          <w:sz w:val="28"/>
          <w:szCs w:val="28"/>
        </w:rPr>
      </w:pPr>
      <w:r>
        <w:rPr>
          <w:sz w:val="28"/>
          <w:szCs w:val="28"/>
        </w:rPr>
        <w:t xml:space="preserve">верхний предел государственного внутреннего долга Рязанской области по состоянию на 1 января 2022 года – 25 482 172 727,53 рубля, в том числе по государственным гарантиям Рязанской области – 0,00 рубля. </w:t>
      </w:r>
    </w:p>
    <w:p>
      <w:pPr>
        <w:pStyle w:val="Normal"/>
        <w:numPr>
          <w:ilvl w:val="0"/>
          <w:numId w:val="0"/>
        </w:numPr>
        <w:ind w:firstLine="709"/>
        <w:jc w:val="both"/>
        <w:outlineLvl w:val="1"/>
        <w:rPr>
          <w:sz w:val="28"/>
          <w:szCs w:val="28"/>
        </w:rPr>
      </w:pPr>
      <w:r>
        <w:rPr>
          <w:sz w:val="28"/>
          <w:szCs w:val="28"/>
        </w:rPr>
        <w:t>7.2. Суммарная величина государственного долга Рязанской области на      1 января 2021 года составляет 23 582 552 857,53 рубля.</w:t>
      </w:r>
    </w:p>
    <w:p>
      <w:pPr>
        <w:pStyle w:val="Normal"/>
        <w:numPr>
          <w:ilvl w:val="0"/>
          <w:numId w:val="0"/>
        </w:numPr>
        <w:ind w:firstLine="709"/>
        <w:jc w:val="both"/>
        <w:outlineLvl w:val="1"/>
        <w:rPr>
          <w:sz w:val="28"/>
          <w:szCs w:val="28"/>
        </w:rPr>
      </w:pPr>
      <w:r>
        <w:rPr>
          <w:sz w:val="28"/>
          <w:szCs w:val="28"/>
        </w:rPr>
        <w:t>На момент утверждения настоящих Условий суммарная величина государственного долга Рязанской области составляет 23 582 552 857,53 рубля.</w:t>
      </w:r>
    </w:p>
    <w:p>
      <w:pPr>
        <w:pStyle w:val="Normal"/>
        <w:numPr>
          <w:ilvl w:val="0"/>
          <w:numId w:val="0"/>
        </w:numPr>
        <w:ind w:firstLine="709"/>
        <w:jc w:val="both"/>
        <w:outlineLvl w:val="1"/>
        <w:rPr>
          <w:sz w:val="28"/>
          <w:szCs w:val="28"/>
        </w:rPr>
      </w:pPr>
      <w:r>
        <w:rPr>
          <w:sz w:val="28"/>
          <w:szCs w:val="28"/>
        </w:rPr>
        <w:t>7.3. Сведения об исполнении областного бюджета за 2018, 2019 и 2020 годы:</w:t>
      </w:r>
    </w:p>
    <w:p>
      <w:pPr>
        <w:pStyle w:val="Normal"/>
        <w:numPr>
          <w:ilvl w:val="0"/>
          <w:numId w:val="0"/>
        </w:numPr>
        <w:ind w:firstLine="709"/>
        <w:jc w:val="center"/>
        <w:outlineLvl w:val="1"/>
        <w:rPr>
          <w:sz w:val="28"/>
          <w:szCs w:val="28"/>
        </w:rPr>
      </w:pPr>
      <w:r>
        <w:rPr>
          <w:sz w:val="28"/>
          <w:szCs w:val="28"/>
        </w:rPr>
        <w:t>Сведения об исполнении областного бюджета за 2018-2020 годы</w:t>
      </w:r>
    </w:p>
    <w:p>
      <w:pPr>
        <w:pStyle w:val="Normal"/>
        <w:tabs>
          <w:tab w:val="left" w:pos="-2160" w:leader="none"/>
        </w:tabs>
        <w:suppressAutoHyphens w:val="true"/>
        <w:ind w:left="1440" w:hanging="0"/>
        <w:jc w:val="right"/>
        <w:rPr>
          <w:sz w:val="28"/>
          <w:szCs w:val="28"/>
        </w:rPr>
      </w:pPr>
      <w:r>
        <w:rPr>
          <w:sz w:val="28"/>
          <w:szCs w:val="28"/>
        </w:rPr>
        <w:t>В рублях</w:t>
      </w:r>
    </w:p>
    <w:tbl>
      <w:tblPr>
        <w:tblW w:w="9652" w:type="dxa"/>
        <w:jc w:val="left"/>
        <w:tblInd w:w="96" w:type="dxa"/>
        <w:tblBorders>
          <w:top w:val="single" w:sz="4" w:space="0" w:color="00000A"/>
          <w:left w:val="single" w:sz="4" w:space="0" w:color="00000A"/>
          <w:right w:val="single" w:sz="4" w:space="0" w:color="00000A"/>
          <w:insideV w:val="single" w:sz="4" w:space="0" w:color="00000A"/>
        </w:tblBorders>
        <w:tblCellMar>
          <w:top w:w="0" w:type="dxa"/>
          <w:left w:w="103" w:type="dxa"/>
          <w:bottom w:w="0" w:type="dxa"/>
          <w:right w:w="108" w:type="dxa"/>
        </w:tblCellMar>
        <w:tblLook w:val="0000"/>
      </w:tblPr>
      <w:tblGrid>
        <w:gridCol w:w="3273"/>
        <w:gridCol w:w="2127"/>
        <w:gridCol w:w="2127"/>
        <w:gridCol w:w="2124"/>
      </w:tblGrid>
      <w:tr>
        <w:trPr>
          <w:tblHeader w:val="true"/>
          <w:trHeight w:val="298" w:hRule="atLeast"/>
        </w:trPr>
        <w:tc>
          <w:tcPr>
            <w:tcW w:w="3273" w:type="dxa"/>
            <w:vMerge w:val="restart"/>
            <w:tcBorders>
              <w:top w:val="single" w:sz="4" w:space="0" w:color="00000A"/>
              <w:left w:val="single" w:sz="4" w:space="0" w:color="00000A"/>
              <w:right w:val="single" w:sz="4" w:space="0" w:color="00000A"/>
              <w:insideV w:val="single" w:sz="4" w:space="0" w:color="00000A"/>
            </w:tcBorders>
            <w:shd w:color="auto" w:fill="auto" w:val="clear"/>
            <w:tcMar>
              <w:left w:w="103" w:type="dxa"/>
            </w:tcMar>
          </w:tcPr>
          <w:p>
            <w:pPr>
              <w:pStyle w:val="Normal"/>
              <w:suppressAutoHyphens w:val="true"/>
              <w:jc w:val="center"/>
              <w:rPr>
                <w:sz w:val="24"/>
                <w:szCs w:val="24"/>
              </w:rPr>
            </w:pPr>
            <w:r>
              <w:rPr>
                <w:sz w:val="24"/>
                <w:szCs w:val="24"/>
              </w:rPr>
              <w:t>Наименование</w:t>
            </w:r>
          </w:p>
        </w:tc>
        <w:tc>
          <w:tcPr>
            <w:tcW w:w="6378" w:type="dxa"/>
            <w:gridSpan w:val="3"/>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uppressAutoHyphens w:val="true"/>
              <w:jc w:val="center"/>
              <w:rPr>
                <w:sz w:val="24"/>
                <w:szCs w:val="24"/>
              </w:rPr>
            </w:pPr>
            <w:r>
              <w:rPr>
                <w:sz w:val="24"/>
                <w:szCs w:val="24"/>
              </w:rPr>
              <w:t>Сумма</w:t>
            </w:r>
          </w:p>
        </w:tc>
      </w:tr>
      <w:tr>
        <w:trPr>
          <w:tblHeader w:val="true"/>
          <w:trHeight w:val="118" w:hRule="atLeast"/>
        </w:trPr>
        <w:tc>
          <w:tcPr>
            <w:tcW w:w="3273" w:type="dxa"/>
            <w:vMerge w:val="continue"/>
            <w:tcBorders>
              <w:left w:val="single" w:sz="4" w:space="0" w:color="00000A"/>
              <w:right w:val="single" w:sz="4" w:space="0" w:color="00000A"/>
              <w:insideV w:val="single" w:sz="4" w:space="0" w:color="00000A"/>
            </w:tcBorders>
            <w:shd w:color="auto" w:fill="auto" w:val="clear"/>
            <w:tcMar>
              <w:left w:w="103" w:type="dxa"/>
            </w:tcMar>
            <w:vAlign w:val="center"/>
          </w:tcPr>
          <w:p>
            <w:pPr>
              <w:pStyle w:val="Normal"/>
              <w:suppressAutoHyphens w:val="true"/>
              <w:jc w:val="center"/>
              <w:rPr>
                <w:bCs/>
                <w:sz w:val="24"/>
                <w:szCs w:val="24"/>
              </w:rPr>
            </w:pPr>
            <w:r>
              <w:rPr>
                <w:bCs/>
                <w:sz w:val="24"/>
                <w:szCs w:val="24"/>
              </w:rPr>
            </w:r>
          </w:p>
        </w:tc>
        <w:tc>
          <w:tcPr>
            <w:tcW w:w="2127" w:type="dxa"/>
            <w:tcBorders>
              <w:top w:val="single" w:sz="4" w:space="0" w:color="00000A"/>
              <w:right w:val="single" w:sz="4" w:space="0" w:color="00000A"/>
              <w:insideV w:val="single" w:sz="4" w:space="0" w:color="00000A"/>
            </w:tcBorders>
            <w:shd w:fill="auto" w:val="clear"/>
          </w:tcPr>
          <w:p>
            <w:pPr>
              <w:pStyle w:val="Normal"/>
              <w:suppressAutoHyphens w:val="true"/>
              <w:jc w:val="center"/>
              <w:rPr>
                <w:sz w:val="24"/>
                <w:szCs w:val="24"/>
              </w:rPr>
            </w:pPr>
            <w:r>
              <w:rPr>
                <w:sz w:val="24"/>
                <w:szCs w:val="24"/>
              </w:rPr>
              <w:t>2018 год</w:t>
            </w:r>
          </w:p>
        </w:tc>
        <w:tc>
          <w:tcPr>
            <w:tcW w:w="2127" w:type="dxa"/>
            <w:tcBorders>
              <w:top w:val="single" w:sz="4" w:space="0" w:color="00000A"/>
              <w:left w:val="single" w:sz="4" w:space="0" w:color="00000A"/>
              <w:right w:val="single" w:sz="4" w:space="0" w:color="00000A"/>
              <w:insideV w:val="single" w:sz="4" w:space="0" w:color="00000A"/>
            </w:tcBorders>
            <w:shd w:color="auto" w:fill="auto" w:val="clear"/>
            <w:tcMar>
              <w:left w:w="103" w:type="dxa"/>
            </w:tcMar>
          </w:tcPr>
          <w:p>
            <w:pPr>
              <w:pStyle w:val="Normal"/>
              <w:suppressAutoHyphens w:val="true"/>
              <w:jc w:val="center"/>
              <w:rPr>
                <w:sz w:val="24"/>
                <w:szCs w:val="24"/>
              </w:rPr>
            </w:pPr>
            <w:r>
              <w:rPr>
                <w:sz w:val="24"/>
                <w:szCs w:val="24"/>
              </w:rPr>
              <w:t>2019 год</w:t>
            </w:r>
          </w:p>
        </w:tc>
        <w:tc>
          <w:tcPr>
            <w:tcW w:w="2124" w:type="dxa"/>
            <w:tcBorders>
              <w:top w:val="single" w:sz="4" w:space="0" w:color="00000A"/>
              <w:left w:val="single" w:sz="4" w:space="0" w:color="00000A"/>
              <w:right w:val="single" w:sz="4" w:space="0" w:color="00000A"/>
              <w:insideV w:val="single" w:sz="4" w:space="0" w:color="00000A"/>
            </w:tcBorders>
            <w:shd w:fill="auto" w:val="clear"/>
            <w:tcMar>
              <w:left w:w="103" w:type="dxa"/>
            </w:tcMar>
          </w:tcPr>
          <w:p>
            <w:pPr>
              <w:pStyle w:val="Normal"/>
              <w:suppressAutoHyphens w:val="true"/>
              <w:jc w:val="center"/>
              <w:rPr>
                <w:sz w:val="24"/>
                <w:szCs w:val="24"/>
              </w:rPr>
            </w:pPr>
            <w:r>
              <w:rPr>
                <w:sz w:val="24"/>
                <w:szCs w:val="24"/>
              </w:rPr>
              <w:t>2020 год</w:t>
            </w:r>
          </w:p>
        </w:tc>
      </w:tr>
    </w:tbl>
    <w:p>
      <w:pPr>
        <w:pStyle w:val="Normal"/>
        <w:rPr>
          <w:color w:val="FF0000"/>
          <w:sz w:val="2"/>
          <w:szCs w:val="2"/>
        </w:rPr>
      </w:pPr>
      <w:r>
        <w:rPr>
          <w:color w:val="FF0000"/>
          <w:sz w:val="2"/>
          <w:szCs w:val="2"/>
        </w:rPr>
      </w:r>
    </w:p>
    <w:tbl>
      <w:tblPr>
        <w:tblW w:w="9652" w:type="dxa"/>
        <w:jc w:val="left"/>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val="0000"/>
      </w:tblPr>
      <w:tblGrid>
        <w:gridCol w:w="3273"/>
        <w:gridCol w:w="2128"/>
        <w:gridCol w:w="2127"/>
        <w:gridCol w:w="2123"/>
      </w:tblGrid>
      <w:tr>
        <w:trPr>
          <w:tblHeader w:val="true"/>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jc w:val="center"/>
              <w:rPr>
                <w:bCs/>
                <w:sz w:val="24"/>
                <w:szCs w:val="24"/>
              </w:rPr>
            </w:pPr>
            <w:r>
              <w:rPr>
                <w:bCs/>
                <w:sz w:val="24"/>
                <w:szCs w:val="24"/>
              </w:rPr>
              <w:t>1</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suppressAutoHyphens w:val="true"/>
              <w:ind w:right="175" w:hanging="0"/>
              <w:jc w:val="center"/>
              <w:rPr>
                <w:bCs/>
                <w:sz w:val="24"/>
                <w:szCs w:val="24"/>
              </w:rPr>
            </w:pPr>
            <w:r>
              <w:rPr>
                <w:bCs/>
                <w:sz w:val="24"/>
                <w:szCs w:val="24"/>
              </w:rPr>
              <w:t>2</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ind w:right="175" w:hanging="0"/>
              <w:jc w:val="center"/>
              <w:rPr>
                <w:bCs/>
                <w:sz w:val="24"/>
                <w:szCs w:val="24"/>
              </w:rPr>
            </w:pPr>
            <w:r>
              <w:rPr>
                <w:bCs/>
                <w:sz w:val="24"/>
                <w:szCs w:val="24"/>
              </w:rPr>
              <w:t>3</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uppressAutoHyphens w:val="true"/>
              <w:ind w:right="175" w:hanging="0"/>
              <w:jc w:val="center"/>
              <w:rPr>
                <w:bCs/>
                <w:sz w:val="24"/>
                <w:szCs w:val="24"/>
              </w:rPr>
            </w:pPr>
            <w:r>
              <w:rPr>
                <w:bCs/>
                <w:sz w:val="24"/>
                <w:szCs w:val="24"/>
              </w:rPr>
              <w:t>4</w:t>
            </w:r>
          </w:p>
        </w:tc>
      </w:tr>
      <w:tr>
        <w:trPr>
          <w:trHeight w:val="204" w:hRule="atLeast"/>
        </w:trPr>
        <w:tc>
          <w:tcPr>
            <w:tcW w:w="3273" w:type="dxa"/>
            <w:tcBorders>
              <w:top w:val="single" w:sz="4" w:space="0" w:color="00000A"/>
              <w:left w:val="single" w:sz="4" w:space="0" w:color="00000A"/>
              <w:right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ДОХОДЫ - всего</w:t>
            </w:r>
          </w:p>
        </w:tc>
        <w:tc>
          <w:tcPr>
            <w:tcW w:w="2128" w:type="dxa"/>
            <w:tcBorders>
              <w:top w:val="single" w:sz="4" w:space="0" w:color="00000A"/>
              <w:left w:val="single" w:sz="4" w:space="0" w:color="00000A"/>
              <w:right w:val="single" w:sz="4" w:space="0" w:color="00000A"/>
              <w:insideV w:val="single" w:sz="4" w:space="0" w:color="00000A"/>
            </w:tcBorders>
            <w:shd w:fill="auto" w:val="clear"/>
            <w:tcMar>
              <w:left w:w="103" w:type="dxa"/>
            </w:tcMar>
            <w:vAlign w:val="bottom"/>
          </w:tcPr>
          <w:p>
            <w:pPr>
              <w:pStyle w:val="Normal"/>
              <w:suppressAutoHyphens w:val="true"/>
              <w:jc w:val="right"/>
              <w:rPr>
                <w:bCs/>
                <w:sz w:val="24"/>
                <w:szCs w:val="24"/>
              </w:rPr>
            </w:pPr>
            <w:r>
              <w:rPr>
                <w:bCs/>
                <w:sz w:val="24"/>
                <w:szCs w:val="24"/>
              </w:rPr>
              <w:t>52 755 661 623,76</w:t>
            </w:r>
          </w:p>
        </w:tc>
        <w:tc>
          <w:tcPr>
            <w:tcW w:w="2127" w:type="dxa"/>
            <w:tcBorders>
              <w:top w:val="single" w:sz="4" w:space="0" w:color="00000A"/>
              <w:left w:val="single" w:sz="4" w:space="0" w:color="00000A"/>
              <w:right w:val="single" w:sz="4" w:space="0" w:color="00000A"/>
              <w:insideV w:val="single" w:sz="4" w:space="0" w:color="00000A"/>
            </w:tcBorders>
            <w:shd w:color="auto" w:fill="auto" w:val="clear"/>
            <w:tcMar>
              <w:left w:w="103" w:type="dxa"/>
            </w:tcMar>
            <w:vAlign w:val="bottom"/>
          </w:tcPr>
          <w:p>
            <w:pPr>
              <w:pStyle w:val="Normal"/>
              <w:suppressAutoHyphens w:val="true"/>
              <w:jc w:val="right"/>
              <w:rPr>
                <w:bCs/>
                <w:sz w:val="24"/>
                <w:szCs w:val="24"/>
              </w:rPr>
            </w:pPr>
            <w:r>
              <w:rPr>
                <w:bCs/>
                <w:sz w:val="24"/>
                <w:szCs w:val="24"/>
              </w:rPr>
              <w:t>59 544 035 177,04</w:t>
            </w:r>
          </w:p>
        </w:tc>
        <w:tc>
          <w:tcPr>
            <w:tcW w:w="2123" w:type="dxa"/>
            <w:tcBorders>
              <w:top w:val="single" w:sz="4" w:space="0" w:color="00000A"/>
              <w:left w:val="single" w:sz="4" w:space="0" w:color="00000A"/>
              <w:right w:val="single" w:sz="4" w:space="0" w:color="00000A"/>
              <w:insideV w:val="single" w:sz="4" w:space="0" w:color="00000A"/>
            </w:tcBorders>
            <w:shd w:fill="auto" w:val="clear"/>
            <w:tcMar>
              <w:left w:w="103" w:type="dxa"/>
            </w:tcMar>
            <w:vAlign w:val="bottom"/>
          </w:tcPr>
          <w:p>
            <w:pPr>
              <w:pStyle w:val="Normal"/>
              <w:suppressAutoHyphens w:val="true"/>
              <w:jc w:val="right"/>
              <w:rPr>
                <w:bCs/>
                <w:sz w:val="24"/>
                <w:szCs w:val="24"/>
              </w:rPr>
            </w:pPr>
            <w:r>
              <w:rPr>
                <w:bCs/>
                <w:sz w:val="24"/>
                <w:szCs w:val="24"/>
              </w:rPr>
              <w:t>66 425 255 952,70</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НАЛОГОВЫЕ И НЕНАЛОГОВЫЕ ДОХОДЫ</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37 687 358 876,60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40 371 307 332,17</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41 784 482 639,80</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Налоги на прибыль, доходы</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22 405 695 873,91</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24 030 356 361,09</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25 421 623 128,05</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sz w:val="24"/>
                <w:szCs w:val="24"/>
              </w:rPr>
              <w:t>в том числе:</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налог на прибыль организаций</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10 637 832 507,30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11 185 079 012,86</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11 544 838 546,67</w:t>
            </w:r>
          </w:p>
        </w:tc>
      </w:tr>
      <w:tr>
        <w:trPr>
          <w:trHeight w:val="203"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налог на доходы физических лиц</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11 767 863 366,61</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12 845 277 348,23</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13 876 784 581,38</w:t>
            </w:r>
          </w:p>
        </w:tc>
      </w:tr>
      <w:tr>
        <w:trPr>
          <w:trHeight w:val="612"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Налоги на товары (работы, услуги), реализуемые на территории Российской Федерации</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5 154 816 018,97</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6 172 693 434,06</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6 540 067 851,24</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Налоги на совокупный доход</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2 455 597 625,54</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2 788 734 681,05</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3 030 849 314,71</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Налоги на имущество</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6 346 832 637,66</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5 925 885 017,46</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5 482 157 840,99</w:t>
            </w:r>
          </w:p>
        </w:tc>
      </w:tr>
      <w:tr>
        <w:trPr>
          <w:trHeight w:val="408"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Налоги, сборы и регулярные платежи за пользование природными ресурсами</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51 503 077,71</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62 231 868,01</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69 372 962,56</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Государственная пошлина</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215 054 132,60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224 999 816,45</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153 790 829,13</w:t>
            </w:r>
          </w:p>
        </w:tc>
      </w:tr>
      <w:tr>
        <w:trPr>
          <w:trHeight w:val="612"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Задолженность и перерасчеты по отмененным налогам, сборам и иным обязательным платежам</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292 718,50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86 379,05</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64 846,67</w:t>
            </w:r>
          </w:p>
        </w:tc>
      </w:tr>
      <w:tr>
        <w:trPr>
          <w:trHeight w:val="612"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Доходы от использования имущества, находящегося в государственной и муниципальной собственности</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88 145 387,57</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107 365 782,40</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107 973 982,65</w:t>
            </w:r>
          </w:p>
        </w:tc>
      </w:tr>
      <w:tr>
        <w:trPr>
          <w:trHeight w:val="408"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Платежи при пользовании природными ресурсами</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134 707 688,37</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94 354 609,78</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110 390 592,81</w:t>
            </w:r>
          </w:p>
        </w:tc>
      </w:tr>
      <w:tr>
        <w:trPr>
          <w:trHeight w:val="408"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Доходы от оказания платных услуг (работ) и компенсации затрат государства</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64 138 063,90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47 600 413,39</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54 756 166,68</w:t>
            </w:r>
          </w:p>
        </w:tc>
      </w:tr>
      <w:tr>
        <w:trPr>
          <w:trHeight w:val="408"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Доходы от продажи материальных и нематериальных активов</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11 655 810,60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10 336 138,12</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24 116 495,88</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Административные платежи и сборы</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12 696 810,00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1 844 830,00</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1 204 970,00</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Штрафы, санкции, возмещение ущерба</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742 859 208,88</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899 898 220,60</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788 161 384,49</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suppressAutoHyphens w:val="true"/>
              <w:rPr>
                <w:bCs/>
                <w:sz w:val="24"/>
                <w:szCs w:val="24"/>
              </w:rPr>
            </w:pPr>
            <w:r>
              <w:rPr>
                <w:bCs/>
                <w:sz w:val="24"/>
                <w:szCs w:val="24"/>
              </w:rPr>
              <w:t>Прочие неналоговые доходы</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3 363 822,39</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4 919 780,71</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593" w:leader="none"/>
              </w:tabs>
              <w:suppressAutoHyphens w:val="true"/>
              <w:ind w:right="34" w:hanging="0"/>
              <w:jc w:val="right"/>
              <w:rPr>
                <w:bCs/>
                <w:sz w:val="24"/>
                <w:szCs w:val="24"/>
              </w:rPr>
            </w:pPr>
            <w:r>
              <w:rPr>
                <w:bCs/>
                <w:sz w:val="24"/>
                <w:szCs w:val="24"/>
              </w:rPr>
              <w:t>-47 726,06</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t xml:space="preserve">БЕЗВОЗМЕЗДНЫЕ ПОСТУПЛЕНИЯ                                     </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15 068 302 747,16</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19 172 727 844,87</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24 640 773 312,90</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ConsPlusNormal"/>
              <w:widowControl/>
              <w:ind w:hanging="0"/>
              <w:rPr>
                <w:rFonts w:ascii="Times New Roman" w:hAnsi="Times New Roman" w:cs="Times New Roman"/>
                <w:sz w:val="24"/>
                <w:szCs w:val="24"/>
              </w:rPr>
            </w:pPr>
            <w:r>
              <w:rPr>
                <w:rFonts w:ascii="Times New Roman" w:hAnsi="Times New Roman"/>
                <w:sz w:val="24"/>
                <w:szCs w:val="24"/>
              </w:rPr>
              <w:t>в том числе:</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t>безвозмездные поступления от других бюджетов бюджетной системы Российской Федерации</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15 021 278 238,43</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19 091 363 892,78</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24 372 506 457,59</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t>безвозмездные поступления от государственных (муниципальных) организаций</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-8 167 901,44</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127 939 100,13</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266 170 968,64</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t>прочие безвозмездные поступления</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1 021 900,00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1 000 000,00</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1 000 000,00</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130 993 782,42</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22 636 293,98</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23 271 594,58</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ConsPlusNormal"/>
              <w:widowControl/>
              <w:ind w:hanging="0"/>
              <w:rPr>
                <w:rFonts w:ascii="Times New Roman" w:hAnsi="Times New Roman" w:cs="Times New Roman"/>
                <w:sz w:val="24"/>
                <w:szCs w:val="24"/>
              </w:rPr>
            </w:pPr>
            <w:r>
              <w:rPr>
                <w:rFonts w:cs="Times New Roman" w:ascii="Times New Roman" w:hAnsi="Times New Roman"/>
                <w:sz w:val="24"/>
                <w:szCs w:val="24"/>
              </w:rPr>
              <w:t>возврат остатков субсидий, субвенций и иных межбюджетных трансфертов, имеющих целевое назначение, прошлых лет</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-76 823 272,25</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-70 211 442,02</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-22 175 707,91</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РАСХОДЫ - всего</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50 439 530 644,88</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58 851 506 094,72</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67 379 591 310,77</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Общегосударственные вопросы</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1 876 222 440,85</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2 199 574 912,10</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2 531 163 542,68</w:t>
            </w:r>
          </w:p>
        </w:tc>
      </w:tr>
      <w:tr>
        <w:trPr>
          <w:trHeight w:val="204" w:hRule="atLeast"/>
          <w:cantSplit w:val="true"/>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Национальная оборона</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27 301 000,00</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27 072 300,00</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29 846 100,00</w:t>
            </w:r>
          </w:p>
        </w:tc>
      </w:tr>
      <w:tr>
        <w:trPr>
          <w:trHeight w:val="408"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Национальная безопасность и правоохранительная деятельность</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778 710 652,44</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799 005 436,19</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880 945 249,65</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Национальная экономика</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tabs>
                <w:tab w:val="left" w:pos="1310" w:leader="none"/>
                <w:tab w:val="left" w:pos="1593" w:leader="none"/>
              </w:tabs>
              <w:suppressAutoHyphens w:val="true"/>
              <w:ind w:right="34" w:hanging="0"/>
              <w:jc w:val="right"/>
              <w:rPr>
                <w:bCs/>
                <w:sz w:val="24"/>
                <w:szCs w:val="24"/>
              </w:rPr>
            </w:pPr>
            <w:r>
              <w:rPr>
                <w:bCs/>
                <w:sz w:val="24"/>
                <w:szCs w:val="24"/>
              </w:rPr>
              <w:t>10 501 352 344,24</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13 163 956 029,11</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14 653 647 343,59</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Жилищно-коммунальное хозяйство</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907 455 442,79</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1 414 318 549,62</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1 639 715 094,66</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Охрана окружающей среды</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tabs>
                <w:tab w:val="left" w:pos="1310" w:leader="none"/>
                <w:tab w:val="left" w:pos="1593" w:leader="none"/>
              </w:tabs>
              <w:suppressAutoHyphens w:val="true"/>
              <w:ind w:right="34" w:hanging="0"/>
              <w:jc w:val="right"/>
              <w:rPr>
                <w:bCs/>
                <w:sz w:val="24"/>
                <w:szCs w:val="24"/>
              </w:rPr>
            </w:pPr>
            <w:r>
              <w:rPr>
                <w:bCs/>
                <w:sz w:val="24"/>
                <w:szCs w:val="24"/>
              </w:rPr>
              <w:t>23 512 423,55</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19 204 268,75</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39 045 108,20</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Образование</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tabs>
                <w:tab w:val="left" w:pos="1310" w:leader="none"/>
                <w:tab w:val="left" w:pos="1593" w:leader="none"/>
              </w:tabs>
              <w:suppressAutoHyphens w:val="true"/>
              <w:ind w:right="34" w:hanging="0"/>
              <w:jc w:val="right"/>
              <w:rPr>
                <w:bCs/>
                <w:sz w:val="24"/>
                <w:szCs w:val="24"/>
              </w:rPr>
            </w:pPr>
            <w:r>
              <w:rPr>
                <w:bCs/>
                <w:sz w:val="24"/>
                <w:szCs w:val="24"/>
              </w:rPr>
              <w:t>13 537 828 030,52</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15 170 086 765,14</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16 044 578 227,43</w:t>
            </w:r>
          </w:p>
        </w:tc>
      </w:tr>
      <w:tr>
        <w:trPr>
          <w:trHeight w:val="408"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Культура, кинематография</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1 469 967 878,64</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1 407 543 435,80</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1 320 948 639,38</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 xml:space="preserve">Здравоохранение </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5 171 461 581,35</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6 576 755 989,43</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8 637 147 779,45</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Социальная политика</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tabs>
                <w:tab w:val="left" w:pos="1310" w:leader="none"/>
                <w:tab w:val="left" w:pos="1593" w:leader="none"/>
              </w:tabs>
              <w:suppressAutoHyphens w:val="true"/>
              <w:ind w:right="34" w:hanging="0"/>
              <w:jc w:val="right"/>
              <w:rPr>
                <w:bCs/>
                <w:sz w:val="24"/>
                <w:szCs w:val="24"/>
              </w:rPr>
            </w:pPr>
            <w:r>
              <w:rPr>
                <w:bCs/>
                <w:sz w:val="24"/>
                <w:szCs w:val="24"/>
              </w:rPr>
              <w:t>12 838 136 809,76</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13 638 541 637,19</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16 712 736 192,45</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Физическая культура  и спорт</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854 494 758,32</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1 609 598 748,74</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1 905 912 523,07</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Средства массовой информации</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201 239 944,68</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188 147 379,43</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180 190 480,40</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Обслуживание государственного и муниципального долга</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603 945 788,39</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672 097 378,85</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537 145 320,00</w:t>
            </w:r>
          </w:p>
        </w:tc>
      </w:tr>
      <w:tr>
        <w:trPr>
          <w:trHeight w:val="204"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sz w:val="24"/>
                <w:szCs w:val="24"/>
              </w:rPr>
              <w:t>Межбюджетные трансферты общего характера бюджетам бюджетной системы Российской Федерации</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1 647 901 549,35</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1 965 603 264,37</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2 266 569 709,81</w:t>
            </w:r>
          </w:p>
        </w:tc>
      </w:tr>
      <w:tr>
        <w:trPr>
          <w:trHeight w:val="408" w:hRule="atLeast"/>
        </w:trPr>
        <w:tc>
          <w:tcPr>
            <w:tcW w:w="3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suppressAutoHyphens w:val="true"/>
              <w:rPr>
                <w:bCs/>
                <w:sz w:val="24"/>
                <w:szCs w:val="24"/>
              </w:rPr>
            </w:pPr>
            <w:r>
              <w:rPr>
                <w:bCs/>
                <w:sz w:val="24"/>
                <w:szCs w:val="24"/>
              </w:rPr>
              <w:t>Результат исполнения бюджета (дефицит «-», профицит «+»)</w:t>
            </w:r>
          </w:p>
        </w:tc>
        <w:tc>
          <w:tcPr>
            <w:tcW w:w="21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2 316 130 978,88</w:t>
            </w:r>
          </w:p>
        </w:tc>
        <w:tc>
          <w:tcPr>
            <w:tcW w:w="21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692 529 082,32</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bottom"/>
          </w:tcPr>
          <w:p>
            <w:pPr>
              <w:pStyle w:val="Normal"/>
              <w:tabs>
                <w:tab w:val="left" w:pos="1310" w:leader="none"/>
                <w:tab w:val="left" w:pos="1593" w:leader="none"/>
              </w:tabs>
              <w:suppressAutoHyphens w:val="true"/>
              <w:ind w:right="34" w:hanging="0"/>
              <w:jc w:val="right"/>
              <w:rPr>
                <w:bCs/>
                <w:sz w:val="24"/>
                <w:szCs w:val="24"/>
              </w:rPr>
            </w:pPr>
            <w:r>
              <w:rPr>
                <w:bCs/>
                <w:sz w:val="24"/>
                <w:szCs w:val="24"/>
              </w:rPr>
              <w:t>-954 335 358,07</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________</w:t>
      </w:r>
    </w:p>
    <w:p>
      <w:pPr>
        <w:pStyle w:val="Normal"/>
        <w:ind w:firstLine="709"/>
        <w:jc w:val="both"/>
        <w:rPr>
          <w:color w:val="FF0000"/>
          <w:sz w:val="28"/>
          <w:szCs w:val="28"/>
        </w:rPr>
      </w:pPr>
      <w:r>
        <w:rPr>
          <w:color w:val="FF0000"/>
          <w:sz w:val="28"/>
          <w:szCs w:val="28"/>
        </w:rPr>
      </w:r>
    </w:p>
    <w:p>
      <w:pPr>
        <w:pStyle w:val="Normal"/>
        <w:ind w:firstLine="709"/>
        <w:jc w:val="both"/>
        <w:rPr>
          <w:color w:val="FF0000"/>
          <w:sz w:val="28"/>
          <w:szCs w:val="28"/>
        </w:rPr>
      </w:pPr>
      <w:r>
        <w:rPr>
          <w:color w:val="FF0000"/>
          <w:sz w:val="28"/>
          <w:szCs w:val="28"/>
        </w:rPr>
      </w:r>
    </w:p>
    <w:p>
      <w:pPr>
        <w:pStyle w:val="Normal"/>
        <w:jc w:val="both"/>
        <w:rPr>
          <w:color w:val="FF0000"/>
          <w:sz w:val="28"/>
          <w:szCs w:val="28"/>
        </w:rPr>
      </w:pPr>
      <w:r>
        <w:rPr>
          <w:color w:val="FF0000"/>
          <w:sz w:val="28"/>
          <w:szCs w:val="28"/>
        </w:rPr>
      </w:r>
    </w:p>
    <w:p>
      <w:pPr>
        <w:pStyle w:val="Normal"/>
        <w:jc w:val="both"/>
        <w:rPr/>
      </w:pPr>
      <w:r>
        <w:rPr/>
      </w:r>
    </w:p>
    <w:p>
      <w:pPr>
        <w:sectPr>
          <w:type w:val="continuous"/>
          <w:pgSz w:w="11906" w:h="16838"/>
          <w:pgMar w:left="1985" w:right="567" w:header="0" w:top="1134" w:footer="0" w:bottom="1134" w:gutter="0"/>
          <w:formProt w:val="false"/>
          <w:textDirection w:val="lrTb"/>
          <w:docGrid w:type="default" w:linePitch="240" w:charSpace="4294957055"/>
        </w:sectPr>
      </w:pPr>
    </w:p>
    <w:sectPr>
      <w:type w:val="continuous"/>
      <w:pgSz w:w="11906" w:h="16838"/>
      <w:pgMar w:left="1985" w:right="567" w:header="0" w:top="1134" w:footer="0" w:bottom="1134" w:gutter="0"/>
      <w:pgNumType w:fmt="decimal"/>
      <w:formProt w:val="false"/>
      <w:textDirection w:val="lrTb"/>
      <w:docGrid w:type="default" w:linePitch="240" w:charSpace="429495705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Tahoma">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763" w:hanging="360"/>
      </w:pPr>
    </w:lvl>
    <w:lvl w:ilvl="1">
      <w:start w:val="1"/>
      <w:numFmt w:val="decimal"/>
      <w:lvlText w:val="%1.%2."/>
      <w:lvlJc w:val="left"/>
      <w:pPr>
        <w:ind w:left="4483" w:hanging="720"/>
      </w:pPr>
    </w:lvl>
    <w:lvl w:ilvl="2">
      <w:start w:val="1"/>
      <w:numFmt w:val="decimal"/>
      <w:lvlText w:val="%1.%2.%3."/>
      <w:lvlJc w:val="left"/>
      <w:pPr>
        <w:ind w:left="4843" w:hanging="720"/>
      </w:pPr>
    </w:lvl>
    <w:lvl w:ilvl="3">
      <w:start w:val="1"/>
      <w:numFmt w:val="decimal"/>
      <w:lvlText w:val="%1.%2.%3.%4."/>
      <w:lvlJc w:val="left"/>
      <w:pPr>
        <w:ind w:left="5563" w:hanging="1080"/>
      </w:pPr>
    </w:lvl>
    <w:lvl w:ilvl="4">
      <w:start w:val="1"/>
      <w:numFmt w:val="decimal"/>
      <w:lvlText w:val="%1.%2.%3.%4.%5."/>
      <w:lvlJc w:val="left"/>
      <w:pPr>
        <w:ind w:left="5923" w:hanging="1080"/>
      </w:pPr>
    </w:lvl>
    <w:lvl w:ilvl="5">
      <w:start w:val="1"/>
      <w:numFmt w:val="decimal"/>
      <w:lvlText w:val="%1.%2.%3.%4.%5.%6."/>
      <w:lvlJc w:val="left"/>
      <w:pPr>
        <w:ind w:left="6643" w:hanging="1440"/>
      </w:pPr>
    </w:lvl>
    <w:lvl w:ilvl="6">
      <w:start w:val="1"/>
      <w:numFmt w:val="decimal"/>
      <w:lvlText w:val="%1.%2.%3.%4.%5.%6.%7."/>
      <w:lvlJc w:val="left"/>
      <w:pPr>
        <w:ind w:left="7363" w:hanging="1800"/>
      </w:pPr>
    </w:lvl>
    <w:lvl w:ilvl="7">
      <w:start w:val="1"/>
      <w:numFmt w:val="decimal"/>
      <w:lvlText w:val="%1.%2.%3.%4.%5.%6.%7.%8."/>
      <w:lvlJc w:val="left"/>
      <w:pPr>
        <w:ind w:left="7723" w:hanging="1800"/>
      </w:pPr>
    </w:lvl>
    <w:lvl w:ilvl="8">
      <w:start w:val="1"/>
      <w:numFmt w:val="decimal"/>
      <w:lvlText w:val="%1.%2.%3.%4.%5.%6.%7.%8.%9."/>
      <w:lvlJc w:val="left"/>
      <w:pPr>
        <w:ind w:left="8443" w:hanging="21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5"/>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0d6c31"/>
    <w:pPr>
      <w:widowControl/>
      <w:bidi w:val="0"/>
      <w:jc w:val="left"/>
    </w:pPr>
    <w:rPr>
      <w:rFonts w:ascii="Times New Roman" w:hAnsi="Times New Roman" w:eastAsia="Times New Roman" w:cs="Times New Roman"/>
      <w:color w:val="auto"/>
      <w:sz w:val="26"/>
      <w:szCs w:val="20"/>
      <w:lang w:val="ru-RU" w:eastAsia="ru-RU"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343f99"/>
    <w:rPr/>
  </w:style>
  <w:style w:type="paragraph" w:styleId="Style14">
    <w:name w:val="Заголовок"/>
    <w:basedOn w:val="Normal"/>
    <w:next w:val="Style15"/>
    <w:qFormat/>
    <w:pPr>
      <w:keepNext/>
      <w:spacing w:before="240" w:after="120"/>
    </w:pPr>
    <w:rPr>
      <w:rFonts w:ascii="Liberation Sans" w:hAnsi="Liberation Sans" w:eastAsia="Microsoft YaHei" w:cs="Arial"/>
      <w:sz w:val="28"/>
      <w:szCs w:val="28"/>
    </w:rPr>
  </w:style>
  <w:style w:type="paragraph" w:styleId="Style15">
    <w:name w:val="Body Text"/>
    <w:basedOn w:val="Normal"/>
    <w:rsid w:val="000d6c31"/>
    <w:pPr>
      <w:spacing w:lineRule="auto" w:line="192" w:before="120" w:after="0"/>
    </w:pPr>
    <w:rPr>
      <w:sz w:val="28"/>
      <w:lang w:val="en-US"/>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Title"/>
    <w:basedOn w:val="Normal"/>
    <w:qFormat/>
    <w:rsid w:val="000d6c31"/>
    <w:pPr>
      <w:spacing w:lineRule="auto" w:line="288"/>
      <w:jc w:val="center"/>
    </w:pPr>
    <w:rPr>
      <w:sz w:val="32"/>
    </w:rPr>
  </w:style>
  <w:style w:type="paragraph" w:styleId="Caption">
    <w:name w:val="caption"/>
    <w:basedOn w:val="Normal"/>
    <w:qFormat/>
    <w:rsid w:val="000d6c31"/>
    <w:pPr>
      <w:spacing w:lineRule="auto" w:line="288"/>
      <w:jc w:val="center"/>
    </w:pPr>
    <w:rPr>
      <w:b/>
      <w:sz w:val="36"/>
    </w:rPr>
  </w:style>
  <w:style w:type="paragraph" w:styleId="Style20">
    <w:name w:val="Header"/>
    <w:basedOn w:val="Normal"/>
    <w:rsid w:val="000d6c31"/>
    <w:pPr>
      <w:tabs>
        <w:tab w:val="center" w:pos="4677" w:leader="none"/>
        <w:tab w:val="right" w:pos="9355" w:leader="none"/>
      </w:tabs>
    </w:pPr>
    <w:rPr/>
  </w:style>
  <w:style w:type="paragraph" w:styleId="Style21">
    <w:name w:val="Footer"/>
    <w:basedOn w:val="Normal"/>
    <w:rsid w:val="000d6c31"/>
    <w:pPr>
      <w:tabs>
        <w:tab w:val="center" w:pos="4677" w:leader="none"/>
        <w:tab w:val="right" w:pos="9355" w:leader="none"/>
      </w:tabs>
    </w:pPr>
    <w:rPr/>
  </w:style>
  <w:style w:type="paragraph" w:styleId="DocumentMap">
    <w:name w:val="Document Map"/>
    <w:basedOn w:val="Normal"/>
    <w:semiHidden/>
    <w:qFormat/>
    <w:rsid w:val="000d6c31"/>
    <w:pPr>
      <w:shd w:val="clear" w:color="auto" w:fill="000080"/>
    </w:pPr>
    <w:rPr>
      <w:rFonts w:ascii="Tahoma" w:hAnsi="Tahoma" w:cs="Tahoma"/>
    </w:rPr>
  </w:style>
  <w:style w:type="paragraph" w:styleId="BalloonText">
    <w:name w:val="Balloon Text"/>
    <w:basedOn w:val="Normal"/>
    <w:semiHidden/>
    <w:qFormat/>
    <w:rsid w:val="00fb588f"/>
    <w:pPr/>
    <w:rPr>
      <w:rFonts w:ascii="Tahoma" w:hAnsi="Tahoma" w:cs="Tahoma"/>
      <w:sz w:val="16"/>
      <w:szCs w:val="16"/>
    </w:rPr>
  </w:style>
  <w:style w:type="paragraph" w:styleId="ConsPlusNormal" w:customStyle="1">
    <w:name w:val="ConsPlusNormal"/>
    <w:qFormat/>
    <w:rsid w:val="00343f99"/>
    <w:pPr>
      <w:widowControl w:val="false"/>
      <w:bidi w:val="0"/>
      <w:ind w:firstLine="720"/>
      <w:jc w:val="left"/>
    </w:pPr>
    <w:rPr>
      <w:rFonts w:ascii="Arial" w:hAnsi="Arial" w:cs="Arial" w:eastAsia="Times New Roman"/>
      <w:color w:val="auto"/>
      <w:sz w:val="26"/>
      <w:szCs w:val="20"/>
      <w:lang w:val="ru-RU" w:eastAsia="ru-RU" w:bidi="ar-SA"/>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МИНФИНА</Template>
  <TotalTime>3</TotalTime>
  <Application>LibreOffice/5.1.2.2$Windows_X86_64 LibreOffice_project/d3bf12ecb743fc0d20e0be0c58ca359301eb705f</Application>
  <Pages>15</Pages>
  <Words>4463</Words>
  <Characters>29914</Characters>
  <CharactersWithSpaces>34159</CharactersWithSpaces>
  <Paragraphs>319</Paragraphs>
  <Company>Администрация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2021-02-16T15:00:00Z</dcterms:created>
  <dc:creator>Иванченко</dc:creator>
  <dc:description/>
  <dc:language>ru-RU</dc:language>
  <cp:lastModifiedBy/>
  <cp:lastPrinted>2006-02-16T11:48:00Z</cp:lastPrinted>
  <dcterms:modified xsi:type="dcterms:W3CDTF">2021-02-17T12:06:52Z</dcterms:modified>
  <cp:revision>3</cp:revision>
  <dc:subject/>
  <dc:title>Общий бланк Губернатора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