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A337E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Default="00190FF9" w:rsidP="000A337E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C239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B0CAC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3C239B" w:rsidRDefault="003C239B" w:rsidP="000A33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3C239B" w:rsidRPr="00190FF9" w:rsidRDefault="003C239B" w:rsidP="000A33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0A337E" w:rsidRPr="00190FF9">
        <w:tc>
          <w:tcPr>
            <w:tcW w:w="10326" w:type="dxa"/>
          </w:tcPr>
          <w:p w:rsidR="000A337E" w:rsidRPr="00190FF9" w:rsidRDefault="000A33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A337E" w:rsidRPr="00190FF9" w:rsidRDefault="008330AD" w:rsidP="000A337E">
            <w:pPr>
              <w:rPr>
                <w:rFonts w:ascii="Times New Roman" w:hAnsi="Times New Roman"/>
                <w:sz w:val="28"/>
                <w:szCs w:val="28"/>
              </w:rPr>
            </w:pPr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  <w:tr w:rsidR="000A337E" w:rsidRPr="00190FF9">
        <w:tc>
          <w:tcPr>
            <w:tcW w:w="10326" w:type="dxa"/>
          </w:tcPr>
          <w:p w:rsidR="000A337E" w:rsidRPr="00190FF9" w:rsidRDefault="000A33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A337E" w:rsidRPr="00190FF9" w:rsidRDefault="000A337E" w:rsidP="000A33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239B" w:rsidRDefault="003C239B" w:rsidP="003C239B">
      <w:pPr>
        <w:tabs>
          <w:tab w:val="left" w:pos="654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C239B" w:rsidRDefault="003C239B" w:rsidP="003C239B">
      <w:pPr>
        <w:tabs>
          <w:tab w:val="left" w:pos="654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3C239B" w:rsidRDefault="001F1018" w:rsidP="003C239B">
      <w:pPr>
        <w:tabs>
          <w:tab w:val="left" w:pos="654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C239B" w:rsidRDefault="003C239B" w:rsidP="003C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распорядители</w:t>
      </w:r>
      <w:r w:rsidR="00CE57A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объемы и источники фин</w:t>
      </w:r>
      <w:r w:rsidR="00F56634">
        <w:rPr>
          <w:rFonts w:ascii="Times New Roman" w:hAnsi="Times New Roman"/>
          <w:sz w:val="28"/>
          <w:szCs w:val="28"/>
        </w:rPr>
        <w:t>ансирования приведены в таблице:</w:t>
      </w:r>
    </w:p>
    <w:p w:rsidR="003C239B" w:rsidRPr="004764C2" w:rsidRDefault="003C239B" w:rsidP="003C2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546"/>
        <w:gridCol w:w="2270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3C239B" w:rsidTr="003C239B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9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3C239B" w:rsidTr="003C239B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9B" w:rsidRDefault="003C2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9B" w:rsidRDefault="003C2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9B" w:rsidRDefault="003C2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3C239B" w:rsidTr="003C239B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9B" w:rsidRDefault="003C2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9B" w:rsidRDefault="003C2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9B" w:rsidRDefault="003C2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9B" w:rsidRDefault="003C2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3C239B" w:rsidTr="003C239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C239B" w:rsidTr="004764C2">
        <w:trPr>
          <w:trHeight w:val="15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социальной защиты населения Рязанской области*, министерство труда и социальной защиты населения Рязанской области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9B" w:rsidRDefault="003C239B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1164079,0974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3C239B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80112,17208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3C239B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77893,57416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3C239B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78445,79866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3C239B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120619,33038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3C239B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128630,83088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133394,76945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136100,55774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136100,55774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136100,55774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C239B" w:rsidRDefault="003C239B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136680,94857</w:t>
            </w:r>
          </w:p>
        </w:tc>
      </w:tr>
      <w:tr w:rsidR="00F57DD6" w:rsidTr="00426333">
        <w:trPr>
          <w:trHeight w:val="1561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D6" w:rsidRDefault="00F57DD6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DD6" w:rsidRDefault="00F57D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DD6" w:rsidRDefault="00F57DD6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1C6D4C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1164079,0974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80112,17208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77893,57416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78445,79866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120619,33038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128630,83088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133394,76945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136100,55774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136100,55774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136100,55774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7DD6" w:rsidRDefault="00F57DD6" w:rsidP="00426333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136680,94857</w:t>
            </w:r>
          </w:p>
        </w:tc>
      </w:tr>
    </w:tbl>
    <w:p w:rsidR="00426333" w:rsidRPr="00426333" w:rsidRDefault="00426333" w:rsidP="00F57DD6">
      <w:pPr>
        <w:tabs>
          <w:tab w:val="left" w:pos="1078"/>
          <w:tab w:val="left" w:pos="1134"/>
        </w:tabs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6"/>
          <w:szCs w:val="6"/>
        </w:rPr>
      </w:pPr>
    </w:p>
    <w:p w:rsidR="003C239B" w:rsidRPr="001E2167" w:rsidRDefault="003C239B" w:rsidP="000A337E">
      <w:pPr>
        <w:tabs>
          <w:tab w:val="left" w:pos="1078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E2167">
        <w:rPr>
          <w:rFonts w:ascii="Times New Roman" w:hAnsi="Times New Roman"/>
          <w:sz w:val="24"/>
          <w:szCs w:val="24"/>
        </w:rPr>
        <w:t>*До реорганизации в министерство труда и социальной защиты населения Рязанской области</w:t>
      </w:r>
      <w:r w:rsidR="00F57DD6" w:rsidRPr="001E2167">
        <w:rPr>
          <w:rFonts w:ascii="Times New Roman" w:hAnsi="Times New Roman"/>
          <w:sz w:val="24"/>
          <w:szCs w:val="24"/>
        </w:rPr>
        <w:t>.</w:t>
      </w:r>
    </w:p>
    <w:p w:rsidR="00F57DD6" w:rsidRPr="001C6D4C" w:rsidRDefault="00F57DD6" w:rsidP="000A337E">
      <w:pPr>
        <w:tabs>
          <w:tab w:val="left" w:pos="1078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C6D4C">
        <w:rPr>
          <w:rFonts w:ascii="Times New Roman" w:hAnsi="Times New Roman"/>
          <w:sz w:val="28"/>
          <w:szCs w:val="28"/>
        </w:rPr>
        <w:t>Объемы финансирования подпрограммы носят прогнозный характер и подлежат ежегодному уточнению</w:t>
      </w:r>
      <w:proofErr w:type="gramStart"/>
      <w:r w:rsidRPr="001C6D4C">
        <w:rPr>
          <w:rFonts w:ascii="Times New Roman" w:hAnsi="Times New Roman"/>
          <w:sz w:val="28"/>
          <w:szCs w:val="28"/>
        </w:rPr>
        <w:t>.»</w:t>
      </w:r>
      <w:r w:rsidR="001C6D4C">
        <w:rPr>
          <w:rFonts w:ascii="Times New Roman" w:hAnsi="Times New Roman"/>
          <w:sz w:val="28"/>
          <w:szCs w:val="28"/>
        </w:rPr>
        <w:t>.</w:t>
      </w:r>
      <w:proofErr w:type="gramEnd"/>
    </w:p>
    <w:p w:rsidR="00F57DD6" w:rsidRDefault="00F57DD6" w:rsidP="00F57DD6">
      <w:pPr>
        <w:tabs>
          <w:tab w:val="left" w:pos="1078"/>
          <w:tab w:val="left" w:pos="1134"/>
        </w:tabs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</w:p>
    <w:p w:rsidR="004764C2" w:rsidRDefault="004764C2" w:rsidP="00F57DD6">
      <w:pPr>
        <w:tabs>
          <w:tab w:val="left" w:pos="1078"/>
          <w:tab w:val="left" w:pos="1134"/>
        </w:tabs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</w:p>
    <w:p w:rsidR="004764C2" w:rsidRDefault="004764C2" w:rsidP="00F57DD6">
      <w:pPr>
        <w:tabs>
          <w:tab w:val="left" w:pos="1078"/>
          <w:tab w:val="left" w:pos="1134"/>
        </w:tabs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</w:p>
    <w:p w:rsidR="004764C2" w:rsidRDefault="004764C2" w:rsidP="00F57DD6">
      <w:pPr>
        <w:tabs>
          <w:tab w:val="left" w:pos="1078"/>
          <w:tab w:val="left" w:pos="1134"/>
        </w:tabs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</w:p>
    <w:p w:rsidR="004764C2" w:rsidRDefault="004764C2" w:rsidP="00F57DD6">
      <w:pPr>
        <w:tabs>
          <w:tab w:val="left" w:pos="1078"/>
          <w:tab w:val="left" w:pos="1134"/>
        </w:tabs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</w:p>
    <w:p w:rsidR="003C239B" w:rsidRPr="00AE2531" w:rsidRDefault="003C239B" w:rsidP="003C239B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AE2531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3C239B" w:rsidRPr="00C134BF" w:rsidRDefault="003C239B" w:rsidP="003C239B">
      <w:pPr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2473"/>
        <w:gridCol w:w="1416"/>
        <w:gridCol w:w="1136"/>
        <w:gridCol w:w="1147"/>
        <w:gridCol w:w="532"/>
        <w:gridCol w:w="546"/>
        <w:gridCol w:w="546"/>
        <w:gridCol w:w="532"/>
        <w:gridCol w:w="560"/>
        <w:gridCol w:w="532"/>
        <w:gridCol w:w="546"/>
        <w:gridCol w:w="546"/>
        <w:gridCol w:w="545"/>
        <w:gridCol w:w="546"/>
        <w:gridCol w:w="532"/>
        <w:gridCol w:w="1679"/>
      </w:tblGrid>
      <w:tr w:rsidR="000C6E36" w:rsidRPr="000C6E36" w:rsidTr="00F44722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6E3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C6E3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 xml:space="preserve">Главные </w:t>
            </w:r>
            <w:proofErr w:type="spellStart"/>
            <w:proofErr w:type="gramStart"/>
            <w:r w:rsidRPr="000C6E36">
              <w:rPr>
                <w:rFonts w:ascii="Times New Roman" w:hAnsi="Times New Roman"/>
                <w:sz w:val="24"/>
                <w:szCs w:val="24"/>
              </w:rPr>
              <w:t>распоряди-тели</w:t>
            </w:r>
            <w:proofErr w:type="spellEnd"/>
            <w:proofErr w:type="gramEnd"/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6E36">
              <w:rPr>
                <w:rFonts w:ascii="Times New Roman" w:hAnsi="Times New Roman"/>
                <w:sz w:val="24"/>
                <w:szCs w:val="24"/>
              </w:rPr>
              <w:t>Исполни-</w:t>
            </w:r>
            <w:proofErr w:type="spellStart"/>
            <w:r w:rsidRPr="000C6E36">
              <w:rPr>
                <w:rFonts w:ascii="Times New Roman" w:hAnsi="Times New Roman"/>
                <w:sz w:val="24"/>
                <w:szCs w:val="24"/>
              </w:rPr>
              <w:t>тели</w:t>
            </w:r>
            <w:proofErr w:type="spellEnd"/>
            <w:proofErr w:type="gramEnd"/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0C6E36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9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0C6E36" w:rsidRPr="000C6E36" w:rsidTr="00F44722"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4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6E36" w:rsidRPr="000C6E36" w:rsidTr="00F44722">
        <w:trPr>
          <w:cantSplit/>
          <w:trHeight w:val="713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E3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239B" w:rsidRPr="00AE2531" w:rsidRDefault="003C239B" w:rsidP="003C239B">
      <w:pPr>
        <w:spacing w:line="228" w:lineRule="auto"/>
        <w:rPr>
          <w:sz w:val="2"/>
          <w:szCs w:val="2"/>
        </w:rPr>
      </w:pPr>
    </w:p>
    <w:tbl>
      <w:tblPr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478"/>
        <w:gridCol w:w="1418"/>
        <w:gridCol w:w="1134"/>
        <w:gridCol w:w="1134"/>
        <w:gridCol w:w="552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1664"/>
      </w:tblGrid>
      <w:tr w:rsidR="00326407" w:rsidRPr="000C6E36" w:rsidTr="00F44722">
        <w:trPr>
          <w:cantSplit/>
          <w:trHeight w:val="267"/>
          <w:tblHeader/>
        </w:trPr>
        <w:tc>
          <w:tcPr>
            <w:tcW w:w="607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78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2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44" w:type="dxa"/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3C239B" w:rsidRPr="000C6E36" w:rsidRDefault="003C239B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 w:rsidR="000C6E36" w:rsidRPr="000C6E36" w:rsidTr="00F44722">
        <w:trPr>
          <w:cantSplit/>
          <w:trHeight w:val="1393"/>
        </w:trPr>
        <w:tc>
          <w:tcPr>
            <w:tcW w:w="607" w:type="dxa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78" w:type="dxa"/>
          </w:tcPr>
          <w:p w:rsidR="000C6E36" w:rsidRPr="000C6E36" w:rsidRDefault="000C6E36" w:rsidP="000C6E36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Задача 1. Обеспечение эффективного исполнения государственных функций в сфере реализации Программы, в том числе:</w:t>
            </w:r>
          </w:p>
        </w:tc>
        <w:tc>
          <w:tcPr>
            <w:tcW w:w="1418" w:type="dxa"/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extDirection w:val="btLr"/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52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1164079,0974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80112,17208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77893,57416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78445,79866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120619,33038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128630,83088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133394,76945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1664" w:type="dxa"/>
            <w:vMerge w:val="restart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 xml:space="preserve">достижение ежегодно не менее 95% </w:t>
            </w:r>
            <w:proofErr w:type="gramStart"/>
            <w:r w:rsidRPr="000C6E36">
              <w:rPr>
                <w:rFonts w:ascii="Times New Roman" w:hAnsi="Times New Roman"/>
                <w:sz w:val="22"/>
                <w:szCs w:val="22"/>
              </w:rPr>
              <w:t>запланирован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0C6E36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proofErr w:type="gramEnd"/>
            <w:r w:rsidRPr="000C6E36">
              <w:rPr>
                <w:rFonts w:ascii="Times New Roman" w:hAnsi="Times New Roman"/>
                <w:sz w:val="22"/>
                <w:szCs w:val="22"/>
              </w:rPr>
              <w:t xml:space="preserve"> значений целевых индикаторов Программы</w:t>
            </w:r>
          </w:p>
        </w:tc>
      </w:tr>
      <w:tr w:rsidR="000C6E36" w:rsidRPr="000C6E36" w:rsidTr="00F44722">
        <w:trPr>
          <w:cantSplit/>
          <w:trHeight w:val="1697"/>
        </w:trPr>
        <w:tc>
          <w:tcPr>
            <w:tcW w:w="607" w:type="dxa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478" w:type="dxa"/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Обеспечение деятельности министерства социальной защиты населения Рязанской области</w:t>
            </w:r>
            <w:r w:rsidRPr="000C6E36">
              <w:rPr>
                <w:sz w:val="22"/>
                <w:szCs w:val="22"/>
              </w:rPr>
              <w:t>*</w:t>
            </w:r>
            <w:r w:rsidRPr="000C6E36">
              <w:rPr>
                <w:rFonts w:ascii="Times New Roman" w:hAnsi="Times New Roman"/>
                <w:sz w:val="22"/>
                <w:szCs w:val="22"/>
              </w:rPr>
              <w:t>, министерства труда и социальной защиты населения Рязанской области</w:t>
            </w:r>
          </w:p>
        </w:tc>
        <w:tc>
          <w:tcPr>
            <w:tcW w:w="1418" w:type="dxa"/>
            <w:textDirection w:val="btLr"/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Минсоцзащиты Рязанской области*,         МТСЗН РО</w:t>
            </w:r>
          </w:p>
        </w:tc>
        <w:tc>
          <w:tcPr>
            <w:tcW w:w="1134" w:type="dxa"/>
            <w:textDirection w:val="btLr"/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Минсоцзащиты Рязанской области*,         МТСЗН РО</w:t>
            </w:r>
          </w:p>
        </w:tc>
        <w:tc>
          <w:tcPr>
            <w:tcW w:w="1134" w:type="dxa"/>
            <w:textDirection w:val="btLr"/>
          </w:tcPr>
          <w:p w:rsidR="000C6E36" w:rsidRPr="000C6E36" w:rsidRDefault="000C6E36" w:rsidP="00326407">
            <w:pPr>
              <w:autoSpaceDE w:val="0"/>
              <w:autoSpaceDN w:val="0"/>
              <w:adjustRightInd w:val="0"/>
              <w:spacing w:line="228" w:lineRule="auto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52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1164079,0974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80112,17208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77893,57416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78445,79866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120619,33038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128630,83088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133394,76945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0C6E36" w:rsidRPr="000C6E36" w:rsidRDefault="000C6E36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1664" w:type="dxa"/>
            <w:vMerge/>
            <w:tcBorders>
              <w:bottom w:val="single" w:sz="4" w:space="0" w:color="auto"/>
            </w:tcBorders>
          </w:tcPr>
          <w:p w:rsidR="000C6E36" w:rsidRPr="000C6E36" w:rsidRDefault="000C6E36" w:rsidP="003C239B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6407" w:rsidRPr="000C6E36" w:rsidTr="00F44722">
        <w:trPr>
          <w:cantSplit/>
          <w:trHeight w:val="1599"/>
        </w:trPr>
        <w:tc>
          <w:tcPr>
            <w:tcW w:w="607" w:type="dxa"/>
          </w:tcPr>
          <w:p w:rsidR="00326407" w:rsidRPr="000C6E36" w:rsidRDefault="00326407" w:rsidP="003C23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8" w:type="dxa"/>
          </w:tcPr>
          <w:p w:rsidR="00326407" w:rsidRPr="000C6E36" w:rsidRDefault="00326407" w:rsidP="003264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1418" w:type="dxa"/>
          </w:tcPr>
          <w:p w:rsidR="00326407" w:rsidRPr="000C6E36" w:rsidRDefault="00326407" w:rsidP="00326407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6407" w:rsidRPr="000C6E36" w:rsidRDefault="00326407" w:rsidP="00326407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6407" w:rsidRPr="000C6E36" w:rsidRDefault="00326407" w:rsidP="00326407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dxa"/>
            <w:textDirection w:val="btLr"/>
            <w:vAlign w:val="center"/>
          </w:tcPr>
          <w:p w:rsidR="00326407" w:rsidRPr="000C6E36" w:rsidRDefault="001C6D4C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1164079,0974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80112,17208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77893,57416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78445,79866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120619,33038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128630,83088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133394,76945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136100,55774</w:t>
            </w:r>
          </w:p>
        </w:tc>
        <w:tc>
          <w:tcPr>
            <w:tcW w:w="544" w:type="dxa"/>
            <w:textDirection w:val="btLr"/>
            <w:vAlign w:val="center"/>
          </w:tcPr>
          <w:p w:rsidR="00326407" w:rsidRPr="000C6E36" w:rsidRDefault="00326407" w:rsidP="004764C2">
            <w:pPr>
              <w:pStyle w:val="ac"/>
              <w:tabs>
                <w:tab w:val="left" w:pos="1078"/>
                <w:tab w:val="left" w:pos="1134"/>
              </w:tabs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6E36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1664" w:type="dxa"/>
          </w:tcPr>
          <w:p w:rsidR="00326407" w:rsidRPr="000C6E36" w:rsidRDefault="00326407" w:rsidP="003C23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134BF" w:rsidRPr="00C134BF" w:rsidRDefault="00C134BF" w:rsidP="003C239B">
      <w:pPr>
        <w:pStyle w:val="ConsPlusNormal"/>
        <w:jc w:val="both"/>
        <w:rPr>
          <w:rFonts w:ascii="Times New Roman" w:hAnsi="Times New Roman" w:cs="Times New Roman"/>
          <w:sz w:val="6"/>
          <w:szCs w:val="6"/>
        </w:rPr>
      </w:pPr>
    </w:p>
    <w:p w:rsidR="003C239B" w:rsidRPr="001E2167" w:rsidRDefault="003C239B" w:rsidP="000A33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D4C">
        <w:rPr>
          <w:rFonts w:ascii="Times New Roman" w:hAnsi="Times New Roman" w:cs="Times New Roman"/>
          <w:sz w:val="28"/>
          <w:szCs w:val="28"/>
        </w:rPr>
        <w:t xml:space="preserve">* </w:t>
      </w:r>
      <w:r w:rsidRPr="001E2167">
        <w:rPr>
          <w:rFonts w:ascii="Times New Roman" w:hAnsi="Times New Roman" w:cs="Times New Roman"/>
          <w:sz w:val="24"/>
          <w:szCs w:val="24"/>
        </w:rPr>
        <w:t>До реорганизации в министерство труда и социальной защиты населения Рязанской области</w:t>
      </w:r>
      <w:bookmarkStart w:id="1" w:name="P2119"/>
      <w:bookmarkEnd w:id="1"/>
      <w:proofErr w:type="gramStart"/>
      <w:r w:rsidRPr="001E2167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286ECA" w:rsidRPr="001E2167" w:rsidRDefault="00286ECA" w:rsidP="00190FF9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sectPr w:rsidR="00286ECA" w:rsidRPr="001E2167" w:rsidSect="000A337E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6BE" w:rsidRDefault="001D26BE">
      <w:r>
        <w:separator/>
      </w:r>
    </w:p>
  </w:endnote>
  <w:endnote w:type="continuationSeparator" w:id="0">
    <w:p w:rsidR="001D26BE" w:rsidRDefault="001D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3C239B">
          <w:pPr>
            <w:pStyle w:val="a6"/>
          </w:pPr>
          <w:r>
            <w:rPr>
              <w:noProof/>
            </w:rPr>
            <w:drawing>
              <wp:inline distT="0" distB="0" distL="0" distR="0" wp14:anchorId="12D9E4CF" wp14:editId="4C2BA07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3C239B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0B77861" wp14:editId="5991ECD7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0A337E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2239  12.03.2021 13:35:30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6BE" w:rsidRDefault="001D26BE">
      <w:r>
        <w:separator/>
      </w:r>
    </w:p>
  </w:footnote>
  <w:footnote w:type="continuationSeparator" w:id="0">
    <w:p w:rsidR="001D26BE" w:rsidRDefault="001D2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38568F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38568F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330AD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3" type="#_x0000_t75" style="width:23pt;height:11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QvEXYPJsWJu+Zkoadsb+1Er3Mw=" w:salt="cCLWqbUru6zTB+uZANdpE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738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A337E"/>
    <w:rsid w:val="000B0736"/>
    <w:rsid w:val="000C123A"/>
    <w:rsid w:val="000C6E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C6D4C"/>
    <w:rsid w:val="001D26BE"/>
    <w:rsid w:val="001E0317"/>
    <w:rsid w:val="001E20F1"/>
    <w:rsid w:val="001E2167"/>
    <w:rsid w:val="001F1018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8732E"/>
    <w:rsid w:val="00293594"/>
    <w:rsid w:val="002953B6"/>
    <w:rsid w:val="002B7A59"/>
    <w:rsid w:val="002C6B4B"/>
    <w:rsid w:val="002E3140"/>
    <w:rsid w:val="002E51A7"/>
    <w:rsid w:val="002E5A5F"/>
    <w:rsid w:val="002F1E81"/>
    <w:rsid w:val="00310D92"/>
    <w:rsid w:val="003160CB"/>
    <w:rsid w:val="003222A3"/>
    <w:rsid w:val="00326407"/>
    <w:rsid w:val="00360A40"/>
    <w:rsid w:val="00374888"/>
    <w:rsid w:val="0038568F"/>
    <w:rsid w:val="003870C2"/>
    <w:rsid w:val="003C239B"/>
    <w:rsid w:val="003D3B8A"/>
    <w:rsid w:val="003D54F8"/>
    <w:rsid w:val="003F4F5E"/>
    <w:rsid w:val="00400906"/>
    <w:rsid w:val="0042590E"/>
    <w:rsid w:val="00426333"/>
    <w:rsid w:val="0042675A"/>
    <w:rsid w:val="00437F65"/>
    <w:rsid w:val="004407AA"/>
    <w:rsid w:val="00460FEA"/>
    <w:rsid w:val="00463A00"/>
    <w:rsid w:val="004734B7"/>
    <w:rsid w:val="004764C2"/>
    <w:rsid w:val="00481B88"/>
    <w:rsid w:val="00485B4F"/>
    <w:rsid w:val="004862D1"/>
    <w:rsid w:val="00487788"/>
    <w:rsid w:val="004B0CAC"/>
    <w:rsid w:val="004B2D5A"/>
    <w:rsid w:val="004C1558"/>
    <w:rsid w:val="004D293D"/>
    <w:rsid w:val="004F44FE"/>
    <w:rsid w:val="004F7738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2B95"/>
    <w:rsid w:val="008143CB"/>
    <w:rsid w:val="00823CA1"/>
    <w:rsid w:val="00825025"/>
    <w:rsid w:val="00825B72"/>
    <w:rsid w:val="008330AD"/>
    <w:rsid w:val="008513B9"/>
    <w:rsid w:val="00854BC4"/>
    <w:rsid w:val="00866798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03B27"/>
    <w:rsid w:val="00A1314B"/>
    <w:rsid w:val="00A13160"/>
    <w:rsid w:val="00A137D3"/>
    <w:rsid w:val="00A4350F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134BF"/>
    <w:rsid w:val="00C46D42"/>
    <w:rsid w:val="00C50C32"/>
    <w:rsid w:val="00C60178"/>
    <w:rsid w:val="00C61760"/>
    <w:rsid w:val="00C63CD6"/>
    <w:rsid w:val="00C87D95"/>
    <w:rsid w:val="00C9077A"/>
    <w:rsid w:val="00C927B3"/>
    <w:rsid w:val="00C95CD2"/>
    <w:rsid w:val="00CA051B"/>
    <w:rsid w:val="00CB3CBE"/>
    <w:rsid w:val="00CE57A7"/>
    <w:rsid w:val="00CF03D8"/>
    <w:rsid w:val="00D015D5"/>
    <w:rsid w:val="00D03D68"/>
    <w:rsid w:val="00D0569D"/>
    <w:rsid w:val="00D107C0"/>
    <w:rsid w:val="00D11B8D"/>
    <w:rsid w:val="00D162E4"/>
    <w:rsid w:val="00D266DD"/>
    <w:rsid w:val="00D32B04"/>
    <w:rsid w:val="00D374E7"/>
    <w:rsid w:val="00D47572"/>
    <w:rsid w:val="00D63949"/>
    <w:rsid w:val="00D652E7"/>
    <w:rsid w:val="00D74867"/>
    <w:rsid w:val="00D77BCF"/>
    <w:rsid w:val="00D84394"/>
    <w:rsid w:val="00D95E55"/>
    <w:rsid w:val="00DB3664"/>
    <w:rsid w:val="00DC16FB"/>
    <w:rsid w:val="00DC3DAF"/>
    <w:rsid w:val="00DC4A65"/>
    <w:rsid w:val="00DC4F66"/>
    <w:rsid w:val="00E10B44"/>
    <w:rsid w:val="00E11F02"/>
    <w:rsid w:val="00E2726B"/>
    <w:rsid w:val="00E37801"/>
    <w:rsid w:val="00E45917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211C3"/>
    <w:rsid w:val="00F44722"/>
    <w:rsid w:val="00F45975"/>
    <w:rsid w:val="00F45B7C"/>
    <w:rsid w:val="00F45FCE"/>
    <w:rsid w:val="00F56634"/>
    <w:rsid w:val="00F57DD6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40"/>
    <w:rPr>
      <w:rFonts w:ascii="TimesET" w:hAnsi="TimesET"/>
    </w:rPr>
  </w:style>
  <w:style w:type="paragraph" w:styleId="1">
    <w:name w:val="heading 1"/>
    <w:basedOn w:val="a"/>
    <w:next w:val="a"/>
    <w:qFormat/>
    <w:rsid w:val="002E3140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2E3140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140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2E3140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2E3140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E314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E3140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E314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c">
    <w:name w:val="List Paragraph"/>
    <w:basedOn w:val="a"/>
    <w:uiPriority w:val="34"/>
    <w:qFormat/>
    <w:rsid w:val="003C239B"/>
    <w:pPr>
      <w:ind w:left="720"/>
      <w:contextualSpacing/>
    </w:pPr>
  </w:style>
  <w:style w:type="paragraph" w:customStyle="1" w:styleId="ConsPlusNormal">
    <w:name w:val="ConsPlusNormal"/>
    <w:rsid w:val="003C239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1EEF7-149B-4985-B3BB-9EB32314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292</Words>
  <Characters>2176</Characters>
  <Application>Microsoft Office Word</Application>
  <DocSecurity>0</DocSecurity>
  <Lines>49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21</cp:revision>
  <cp:lastPrinted>2021-01-27T08:59:00Z</cp:lastPrinted>
  <dcterms:created xsi:type="dcterms:W3CDTF">2019-12-04T10:16:00Z</dcterms:created>
  <dcterms:modified xsi:type="dcterms:W3CDTF">2021-03-16T15:04:00Z</dcterms:modified>
</cp:coreProperties>
</file>