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362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62:20:0043001:9 по адресу: Рязанская область,</w:t>
        <w:br/>
        <w:t>р-н Спасский, п. станции Проня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ООО «АльянсНефтеХим».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07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Спасский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п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Откормсовхоза, ул. Советская, д. 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trike w:val="false"/>
          <w:dstrike w:val="false"/>
          <w:sz w:val="28"/>
          <w:szCs w:val="28"/>
          <w:highlight w:val="white"/>
        </w:rPr>
        <w:t>- в газете «Рязанские ведомости» и</w:t>
      </w:r>
      <w:r>
        <w:rPr>
          <w:rFonts w:cs="Times New Roman"/>
          <w:sz w:val="28"/>
          <w:szCs w:val="28"/>
          <w:highlight w:val="white"/>
        </w:rPr>
        <w:t xml:space="preserve">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16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Спасский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п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Откормсовхоза, ул. Советская, д. 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814</TotalTime>
  <Application>LibreOffice/6.4.4.2$Linux_X86_64 LibreOffice_project/40$Build-2</Application>
  <Pages>2</Pages>
  <Words>665</Words>
  <Characters>5049</Characters>
  <CharactersWithSpaces>5832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2021-08-19T13:18:16Z</dcterms:modified>
  <cp:revision>106</cp:revision>
  <dc:subject/>
  <dc:title/>
</cp:coreProperties>
</file>