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480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Кораблинское городское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Кораблинского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Кораблинский район,</w:t>
        <w:br/>
        <w:t>г. Кораблино, ул. Первомайская, д. 13 (здание библиотеки);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Кораблинский район,</w:t>
        <w:br/>
        <w:t>г. Кораблино, ул. Первомайская, д. 13 (здание библиотеки)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32"/>
          <w:szCs w:val="32"/>
          <w:highlight w:val="white"/>
          <w:lang w:val="ru-RU" w:eastAsia="zh-CN" w:bidi="ar-SA"/>
        </w:rPr>
        <w:t>Кораблинское городское поселение Кораблинского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будет проходить 09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>.11.2021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>Рязанская область,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32"/>
          <w:szCs w:val="32"/>
          <w:highlight w:val="white"/>
          <w:shd w:fill="FFFFFF" w:val="clear"/>
          <w:lang w:val="ru-RU" w:eastAsia="zh-CN" w:bidi="ar-SA"/>
        </w:rPr>
        <w:t>г. Кораблино, ул. Первомайская, д. 13 (здание библиотеки)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32"/>
          <w:szCs w:val="32"/>
          <w:highlight w:val="white"/>
          <w:lang w:val="ru-RU" w:eastAsia="zh-CN" w:bidi="ar-SA"/>
        </w:rPr>
        <w:t xml:space="preserve"> с 10:00 до 11:30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946</TotalTime>
  <Application>LibreOffice/6.4.4.2$Linux_X86_64 LibreOffice_project/40$Build-2</Application>
  <Pages>2</Pages>
  <Words>646</Words>
  <Characters>4975</Characters>
  <CharactersWithSpaces>5739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2021-10-27T12:49:01Z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