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2"/>
        <w:gridCol w:w="4672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  <w:t>Приложение № 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  <w:t>к Постановлению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  <w:t>министерства образования 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  <w:t>молодежной политики Рязанской области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  <w:t>от «30» ноября 2021 г. № 25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ПОРЯДОК</w:t>
      </w:r>
    </w:p>
    <w:p>
      <w:pPr>
        <w:pStyle w:val="Normal"/>
        <w:spacing w:before="0" w:after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расчета корректирующего коэффициента, связанного с невозможностью достижения нормативной наполняемости групп в муниципальных дошкольных образовательных организациях, расположенных в рабочих поселках (поселках городского типа), в i-м муниципальном районе (городском округе)</w:t>
      </w:r>
    </w:p>
    <w:p>
      <w:pPr>
        <w:pStyle w:val="ConsPlusNormal1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sz w:val="28"/>
          <w:szCs w:val="28"/>
          <w:shd w:fill="00FE7F" w:val="clear"/>
        </w:rPr>
      </w:pPr>
      <w:r>
        <w:rPr>
          <w:rFonts w:cs="Times New Roman" w:ascii="Times New Roman" w:hAnsi="Times New Roman"/>
          <w:sz w:val="28"/>
          <w:szCs w:val="28"/>
          <w:shd w:fill="00FE7F" w:val="clear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Настоящий Порядок устанавливает правила определения корректирующего коэффициента, связанного с невозможностью достижения нормативной наполняемости групп  в муниципальных дошкольных образовательных организациях, расположенных в рабочих поселках (поселках городского типа), в i-м муниципальном районе (городском округе)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 распределении субвенций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Рязанской области.</w:t>
      </w:r>
    </w:p>
    <w:p>
      <w:pPr>
        <w:pStyle w:val="Normal"/>
        <w:spacing w:lineRule="auto" w:line="240" w:before="0" w:after="0"/>
        <w:ind w:firstLine="540"/>
        <w:jc w:val="both"/>
        <w:rPr>
          <w:rFonts w:ascii="Calibri" w:hAnsi="Calibri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Корректирующий коэффициент (ki), связанный с невозможностью достижения нормативной наполняемости групп в муниципальных дошкольных образовательных организациях, расположенных в рабочих поселках (поселках городского типа), в i-м муниципальном районе (городском округе) определяется по формуле:</w:t>
      </w:r>
    </w:p>
    <w:p>
      <w:pPr>
        <w:pStyle w:val="ConsPlusNormal1"/>
        <w:spacing w:before="220" w:after="160"/>
        <w:ind w:firstLine="540"/>
        <w:jc w:val="both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</w:r>
      <w:r>
        <w:rPr>
          <w:rFonts w:cs="Times New Roman" w:ascii="Times New Roman" w:hAnsi="Times New Roman"/>
          <w:sz w:val="56"/>
          <w:szCs w:val="56"/>
          <w:vertAlign w:val="subscript"/>
          <w:lang w:val="en-US"/>
        </w:rPr>
        <w:t>k</w:t>
      </w:r>
      <w:r>
        <w:rPr>
          <w:rFonts w:cs="Times New Roman" w:ascii="Times New Roman" w:hAnsi="Times New Roman"/>
          <w:sz w:val="44"/>
          <w:szCs w:val="44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44"/>
          <w:szCs w:val="44"/>
          <w:vertAlign w:val="subscript"/>
        </w:rPr>
        <w:t xml:space="preserve"> = </w:t>
      </w:r>
      <w:r>
        <w:rPr>
          <w:rFonts w:cs="Times New Roman" w:ascii="Times New Roman" w:hAnsi="Times New Roman"/>
          <w:sz w:val="32"/>
          <w:szCs w:val="32"/>
          <w:lang w:val="en-US"/>
        </w:rPr>
        <w:t>O</w:t>
      </w:r>
      <w:r>
        <w:rPr>
          <w:rFonts w:cs="Times New Roman" w:ascii="Times New Roman" w:hAnsi="Times New Roman"/>
          <w:sz w:val="44"/>
          <w:szCs w:val="44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44"/>
          <w:szCs w:val="44"/>
          <w:vertAlign w:val="subscript"/>
        </w:rPr>
        <w:t xml:space="preserve"> / </w:t>
      </w:r>
      <w:r>
        <w:rPr>
          <w:rFonts w:cs="Times New Roman" w:ascii="Times New Roman" w:hAnsi="Times New Roman"/>
          <w:sz w:val="32"/>
          <w:szCs w:val="32"/>
          <w:lang w:val="en-US"/>
        </w:rPr>
        <w:t>N</w:t>
      </w:r>
      <w:r>
        <w:rPr>
          <w:rFonts w:cs="Times New Roman" w:ascii="Times New Roman" w:hAnsi="Times New Roman"/>
          <w:sz w:val="44"/>
          <w:szCs w:val="44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44"/>
          <w:szCs w:val="44"/>
          <w:vertAlign w:val="subscript"/>
        </w:rPr>
        <w:t>,</w:t>
      </w:r>
    </w:p>
    <w:p>
      <w:pPr>
        <w:pStyle w:val="ConsPlusNormal1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Normal"/>
        <w:spacing w:lineRule="auto" w:line="240" w:before="0" w:after="0"/>
        <w:ind w:firstLine="540"/>
        <w:jc w:val="both"/>
        <w:rPr>
          <w:highlight w:val="darkCyan"/>
        </w:rPr>
      </w:pP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– объем субвенции бюджету i-го муниципального района (городского округа) на реализацию образовательных программ дошкольного образования, необходимый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дошкольных образовательных организациях Рязанской области, обеспечение дополнительного образования детей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услуг);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Calibri" w:hAnsi="Calibri" w:cs="Tahoma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N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- объем субвенции бюджету i-го муниципального района (городского округа) на реализацию образовательных программ дошкольного образования, рассчитанный с применением нормативов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дошкольных образовательных организациях Рязанской области, обеспечения дополнительного образования детей в муниципальных дошкольных образовательных организациях Рязанской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2"/>
        <w:gridCol w:w="4672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  <w:t>Приложение № 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  <w:t>к Постановлению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  <w:t>министерства образования 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  <w:t>молодежной политики Рязанской области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  <w:t xml:space="preserve">от «30» ноября 2021 г. № 25 </w:t>
            </w:r>
          </w:p>
        </w:tc>
      </w:tr>
    </w:tbl>
    <w:p>
      <w:pPr>
        <w:pStyle w:val="ConsPlusTitle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ПОРЯДОК</w:t>
      </w:r>
    </w:p>
    <w:p>
      <w:pPr>
        <w:pStyle w:val="Normal"/>
        <w:spacing w:before="0" w:after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расчета корректирующего коэффициента, связанного с невозможностью достижения нормативной наполняемости классов в муниципальных общеобразовательных организациях, расположенных в рабочих поселках (поселках городского типа), и наличием структурных подразделений (филиалов) в i-м муниципальном районе (городском округе)</w:t>
      </w:r>
    </w:p>
    <w:p>
      <w:pPr>
        <w:pStyle w:val="ConsPlusNormal1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Настоящий Порядок устанавливает правила определения корректирующего коэффициента, связанного с невозможностью достижения нормативной наполняемости классов в муниципальных общеобразовательных организациях, расположенных в рабочих поселках (поселках городского типа), и наличием структурных подразделений (филиалов) в i-м муниципальном районе (городском округе)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 распределении субвенций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организациях.</w:t>
      </w:r>
    </w:p>
    <w:p>
      <w:pPr>
        <w:pStyle w:val="ConsPlusNormal1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Корректирующий коэффициент (k</w:t>
      </w:r>
      <w:r>
        <w:rPr>
          <w:rFonts w:cs="Times New Roman" w:ascii="Times New Roman" w:hAnsi="Times New Roman"/>
          <w:sz w:val="28"/>
          <w:szCs w:val="28"/>
          <w:vertAlign w:val="subscript"/>
        </w:rPr>
        <w:t>i</w:t>
      </w:r>
      <w:r>
        <w:rPr>
          <w:rFonts w:cs="Times New Roman" w:ascii="Times New Roman" w:hAnsi="Times New Roman"/>
          <w:sz w:val="28"/>
          <w:szCs w:val="28"/>
        </w:rPr>
        <w:t>), связанный с невозможностью достижения нормативной наполняемости классов в муниципальных общеобразовательных организациях, расположенных в рабочих поселках (поселках городского типа), и наличием структурных подразделений (филиалов), в i-м муниципальном районе (городском округе) определяется по формуле:</w:t>
      </w:r>
    </w:p>
    <w:p>
      <w:pPr>
        <w:pStyle w:val="ConsPlusNormal1"/>
        <w:spacing w:before="220" w:after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k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i = </w:t>
      </w:r>
      <w:r>
        <w:rPr>
          <w:rFonts w:cs="Times New Roman" w:ascii="Times New Roman" w:hAnsi="Times New Roman"/>
          <w:sz w:val="28"/>
          <w:szCs w:val="28"/>
          <w:lang w:val="en-US"/>
        </w:rPr>
        <w:t>O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/ </w:t>
      </w:r>
      <w:r>
        <w:rPr>
          <w:rFonts w:cs="Times New Roman" w:ascii="Times New Roman" w:hAnsi="Times New Roman"/>
          <w:sz w:val="28"/>
          <w:szCs w:val="28"/>
          <w:lang w:val="en-US"/>
        </w:rPr>
        <w:t>N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>,</w:t>
      </w:r>
    </w:p>
    <w:p>
      <w:pPr>
        <w:pStyle w:val="ConsPlusNormal1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O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– объем субвенции бюджету i-го муниципального района (городского округа) на реализацию основных общеобразовательных программ, необходимый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Рязанской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услуг);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N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- объем субвенции бюджету i-го муниципального района (городского округа) на реализацию основных общеобразовательных программ, рассчитанный с применением нормативов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Рязанской области, обеспечения дополнительного образования детей в муниципальных общеобразовательных организациях Рязанской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/>
      </w:pPr>
      <w:hyperlink r:id="rId2">
        <w:r>
          <w:rPr>
            <w:rStyle w:val="Style14"/>
            <w:i/>
            <w:color w:val="0000FF"/>
          </w:rPr>
          <w:br/>
        </w:r>
      </w:hyperlink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i/>
          <w:i/>
          <w:color w:val="0000FF"/>
        </w:rPr>
      </w:pPr>
      <w:r>
        <w:rPr>
          <w:i/>
          <w:color w:val="0000F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2"/>
        <w:gridCol w:w="4672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  <w:t>Приложение № 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  <w:t>к Постановлению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  <w:t>министерства образования 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  <w:t>молодежной политики Рязанской области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  <w:t>от «30» ноября 2021 г. № 25</w:t>
            </w:r>
          </w:p>
        </w:tc>
      </w:tr>
    </w:tbl>
    <w:p>
      <w:pPr>
        <w:pStyle w:val="ConsPlusTitle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ПОРЯДОК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расчета поправочного коэффициента, связанного с превышением нормативной наполняемости классов в муниципальных общеобразовательных организациях, расположенных в i-м муниципальном районе (городском округе) с численностью населения свыше 100 тысяч человек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Настоящий Порядок устанавливает правила определения поправочного коэффициента, связанного с превышением нормативной наполняемости классов в муниципальных общеобразовательных организациях, расположенных в i-м муниципальном районе (городском округе) с численностью населения свыше 100 тысяч человек при распределении субвенций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организациях.</w:t>
      </w:r>
    </w:p>
    <w:p>
      <w:pPr>
        <w:pStyle w:val="ConsPlusNormal1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Поправочный коэффициент (k</w:t>
      </w:r>
      <w:r>
        <w:rPr>
          <w:rFonts w:cs="Times New Roman" w:ascii="Times New Roman" w:hAnsi="Times New Roman"/>
          <w:sz w:val="28"/>
          <w:szCs w:val="28"/>
          <w:vertAlign w:val="subscript"/>
        </w:rPr>
        <w:t>пi</w:t>
      </w:r>
      <w:r>
        <w:rPr>
          <w:rFonts w:cs="Times New Roman" w:ascii="Times New Roman" w:hAnsi="Times New Roman"/>
          <w:sz w:val="28"/>
          <w:szCs w:val="28"/>
        </w:rPr>
        <w:t>) на соответствующий финансовый год, связанный с превышением нормативной наполняемости классов в муниципальных общеобразовательных организациях, расположенных в i-м муниципальном районе (городском округе) с численностью населения свыше 100 тысяч человек, определяется по формуле:</w:t>
      </w:r>
    </w:p>
    <w:p>
      <w:pPr>
        <w:pStyle w:val="ConsPlusNormal1"/>
        <w:spacing w:before="220" w:after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k</w:t>
      </w:r>
      <w:r>
        <w:rPr>
          <w:rFonts w:cs="Times New Roman" w:ascii="Times New Roman" w:hAnsi="Times New Roman"/>
          <w:sz w:val="28"/>
          <w:szCs w:val="28"/>
          <w:vertAlign w:val="subscript"/>
        </w:rPr>
        <w:t>пi =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en-US"/>
        </w:rPr>
        <w:t>F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pi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/ </w:t>
      </w:r>
      <w:r>
        <w:rPr>
          <w:rFonts w:cs="Times New Roman" w:ascii="Times New Roman" w:hAnsi="Times New Roman"/>
          <w:sz w:val="28"/>
          <w:szCs w:val="28"/>
          <w:lang w:val="en-US"/>
        </w:rPr>
        <w:t>F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ni</w:t>
      </w:r>
      <w:r>
        <w:rPr>
          <w:rFonts w:cs="Times New Roman" w:ascii="Times New Roman" w:hAnsi="Times New Roman"/>
          <w:sz w:val="28"/>
          <w:szCs w:val="28"/>
        </w:rPr>
        <w:t>,</w:t>
      </w:r>
    </w:p>
    <w:p>
      <w:pPr>
        <w:pStyle w:val="ConsPlusNormal1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F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pi</w:t>
      </w:r>
      <w:r>
        <w:rPr>
          <w:rFonts w:cs="Times New Roman" w:ascii="Times New Roman" w:hAnsi="Times New Roman"/>
          <w:sz w:val="28"/>
          <w:szCs w:val="28"/>
        </w:rPr>
        <w:t xml:space="preserve"> - объем субвенции бюджету i-го муниципального района (городского округа) с численностью населения свыше 100 тысяч человек на реализацию основных общеобразовательных программ, необходимый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услуг);</w:t>
      </w:r>
    </w:p>
    <w:p>
      <w:pPr>
        <w:pStyle w:val="ConsPlusNormal1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F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ni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- объем субвенции бюджету i-го муниципального района (городского округа) с численностью населения свыше 100 тысяч человек на реализацию основных общеобразовательных программ, рассчитанный с применением нормативов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Рязанской области, обеспечения дополнительного образования детей в муниципальных общеобразовательных организациях Рязанской области, включая расходы на оплату труда, приобретение учебников и учебных пособий, средств обучения,  игр, игрушек (за исключением расходов на содержание зданий и оплату коммунальных услуг).</w:t>
      </w:r>
    </w:p>
    <w:p>
      <w:pPr>
        <w:pStyle w:val="ConsPlusNormal1"/>
        <w:numPr>
          <w:ilvl w:val="0"/>
          <w:numId w:val="0"/>
        </w:numPr>
        <w:jc w:val="both"/>
        <w:outlineLvl w:val="0"/>
        <w:rPr/>
      </w:pPr>
      <w:r>
        <w:rPr/>
      </w:r>
    </w:p>
    <w:sectPr>
      <w:type w:val="nextPage"/>
      <w:pgSz w:w="11906" w:h="16838"/>
      <w:pgMar w:left="1701" w:right="850" w:header="0" w:top="426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1386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sz w:val="22"/>
      <w:szCs w:val="22"/>
      <w:lang w:eastAsia="ru-RU" w:val="ru-RU" w:bidi="ar-SA"/>
    </w:rPr>
  </w:style>
  <w:style w:type="paragraph" w:styleId="3">
    <w:name w:val="Heading 3"/>
    <w:basedOn w:val="Normal"/>
    <w:link w:val="30"/>
    <w:uiPriority w:val="99"/>
    <w:qFormat/>
    <w:rsid w:val="002f1386"/>
    <w:pPr>
      <w:keepNext/>
      <w:spacing w:lineRule="auto" w:line="240" w:before="0" w:after="0"/>
      <w:ind w:firstLine="567"/>
      <w:outlineLvl w:val="2"/>
    </w:pPr>
    <w:rPr>
      <w:rFonts w:ascii="Times New Roman" w:hAnsi="Times New Roman" w:cs="Times New Roman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uiPriority w:val="99"/>
    <w:qFormat/>
    <w:rsid w:val="002f1386"/>
    <w:rPr>
      <w:rFonts w:ascii="Times New Roman" w:hAnsi="Times New Roman" w:eastAsia="" w:cs="Times New Roman" w:eastAsiaTheme="minorEastAsia"/>
      <w:sz w:val="28"/>
      <w:szCs w:val="28"/>
      <w:lang w:eastAsia="ru-RU"/>
    </w:rPr>
  </w:style>
  <w:style w:type="character" w:styleId="ConsPlusNormal" w:customStyle="1">
    <w:name w:val="ConsPlusNormal Знак"/>
    <w:link w:val="ConsPlusNormal"/>
    <w:qFormat/>
    <w:locked/>
    <w:rsid w:val="002f1386"/>
    <w:rPr>
      <w:rFonts w:ascii="Calibri" w:hAnsi="Calibri" w:eastAsia="Times New Roman" w:cs="Calibri"/>
      <w:szCs w:val="20"/>
      <w:lang w:eastAsia="ru-RU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rsid w:val="00ca5573"/>
    <w:rPr>
      <w:rFonts w:ascii="Segoe UI" w:hAnsi="Segoe UI" w:eastAsia="" w:cs="Segoe UI" w:eastAsiaTheme="minorEastAsia"/>
      <w:sz w:val="18"/>
      <w:szCs w:val="18"/>
      <w:lang w:eastAsia="ru-RU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1" w:customStyle="1">
    <w:name w:val="ConsPlusNormal"/>
    <w:link w:val="ConsPlusNormal0"/>
    <w:qFormat/>
    <w:rsid w:val="00f7246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f7246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f7246b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sz w:val="20"/>
      <w:szCs w:val="20"/>
      <w:lang w:eastAsia="ru-RU" w:val="ru-RU" w:bidi="ar-SA"/>
    </w:rPr>
  </w:style>
  <w:style w:type="paragraph" w:styleId="ConsPlusCell" w:customStyle="1">
    <w:name w:val="ConsPlusCell"/>
    <w:uiPriority w:val="99"/>
    <w:qFormat/>
    <w:rsid w:val="002f1386"/>
    <w:pPr>
      <w:widowControl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sz w:val="24"/>
      <w:szCs w:val="24"/>
      <w:lang w:eastAsia="ru-RU" w:val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ca557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Содержимое таблицы"/>
    <w:basedOn w:val="Normal"/>
    <w:qFormat/>
    <w:pPr/>
    <w:rPr/>
  </w:style>
  <w:style w:type="paragraph" w:styleId="Style21">
    <w:name w:val="Заголовок таблицы"/>
    <w:basedOn w:val="Style20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1386"/>
    <w:pPr>
      <w:spacing w:after="0" w:line="240" w:lineRule="auto"/>
    </w:pPr>
    <w:rPr>
      <w:rFonts w:eastAsiaTheme="minorEastAsia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8F549E04690E6109FE62A6AC3026A22D7935539008E5A7D21F153EDF58EFDD6C0441C013F93F5557A75BE2D771125173542699FBE89E136C70EE6A7Be0LFN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Application>LibreOffice/5.1.2.2$Windows_X86_64 LibreOffice_project/d3bf12ecb743fc0d20e0be0c58ca359301eb705f</Application>
  <Pages>6</Pages>
  <Words>921</Words>
  <Characters>7443</Characters>
  <CharactersWithSpaces>8342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2021-11-08T06:42:00Z</dcterms:created>
  <dc:creator>Пользователь Windows</dc:creator>
  <dc:description/>
  <dc:language>ru-RU</dc:language>
  <cp:lastModifiedBy/>
  <cp:lastPrinted>2021-11-29T14:34:00Z</cp:lastPrinted>
  <dcterms:modified xsi:type="dcterms:W3CDTF">2021-11-30T12:02:52Z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