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16123" w14:textId="77777777" w:rsidR="00084B8C" w:rsidRPr="00DB5CC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385B2D" w14:textId="77777777" w:rsidR="00F137FD" w:rsidRPr="00DB5CCF" w:rsidRDefault="009A4564" w:rsidP="00084B8C">
      <w:pPr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E2B74B" wp14:editId="479E8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908F" w14:textId="77777777" w:rsidR="00F137FD" w:rsidRPr="00DB5CC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5CCF">
        <w:rPr>
          <w:rFonts w:ascii="Times New Roman" w:hAnsi="Times New Roman"/>
          <w:b/>
          <w:bCs/>
          <w:sz w:val="36"/>
        </w:rPr>
        <w:t>ГЛАВНОЕ УПРАВЛЕНИЕ</w:t>
      </w:r>
    </w:p>
    <w:p w14:paraId="5ACC952A" w14:textId="77777777" w:rsidR="00F137FD" w:rsidRPr="00DB5CC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5CCF">
        <w:rPr>
          <w:b/>
          <w:bCs/>
          <w:sz w:val="36"/>
        </w:rPr>
        <w:t>«РЕГИОНАЛЬНАЯ ЭНЕРГЕТИЧЕСКАЯ КОМИССИЯ»</w:t>
      </w:r>
    </w:p>
    <w:p w14:paraId="75835694" w14:textId="77777777" w:rsidR="00F137FD" w:rsidRPr="00DB5CC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5CCF">
        <w:rPr>
          <w:b/>
          <w:bCs/>
          <w:sz w:val="36"/>
        </w:rPr>
        <w:t>РЯЗАНСКОЙ ОБЛАСТИ</w:t>
      </w:r>
    </w:p>
    <w:p w14:paraId="4A9D624D" w14:textId="77777777" w:rsidR="00F137FD" w:rsidRPr="00DB5CC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2D10B9A" w14:textId="77777777" w:rsidR="00F137FD" w:rsidRPr="00DB5CC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</w:rPr>
        <w:t>П О С Т А Н О В Л Е Н И Е</w:t>
      </w:r>
    </w:p>
    <w:p w14:paraId="78B6CE6F" w14:textId="77777777" w:rsidR="00F137FD" w:rsidRPr="00DB5CC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1A8112" w14:textId="45B007DC" w:rsidR="00F137FD" w:rsidRPr="00DB5CC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BE141A">
        <w:rPr>
          <w:rFonts w:ascii="Times New Roman" w:hAnsi="Times New Roman"/>
          <w:sz w:val="28"/>
          <w:szCs w:val="28"/>
        </w:rPr>
        <w:t>9</w:t>
      </w:r>
      <w:r w:rsidR="00FD7788" w:rsidRPr="00DB5CCF">
        <w:rPr>
          <w:rFonts w:ascii="Times New Roman" w:hAnsi="Times New Roman"/>
          <w:sz w:val="28"/>
          <w:szCs w:val="28"/>
        </w:rPr>
        <w:t xml:space="preserve"> </w:t>
      </w:r>
      <w:r w:rsidR="00BE141A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EB7E87" w:rsidRPr="00DB5CCF">
        <w:rPr>
          <w:rFonts w:ascii="Times New Roman" w:hAnsi="Times New Roman"/>
          <w:sz w:val="28"/>
          <w:szCs w:val="28"/>
        </w:rPr>
        <w:t>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="00EB7E87" w:rsidRPr="00DB5CCF">
        <w:rPr>
          <w:rFonts w:ascii="Times New Roman" w:hAnsi="Times New Roman"/>
          <w:sz w:val="28"/>
          <w:szCs w:val="28"/>
        </w:rPr>
        <w:t xml:space="preserve"> </w:t>
      </w:r>
      <w:r w:rsidRPr="00DB5CCF">
        <w:rPr>
          <w:rFonts w:ascii="Times New Roman" w:hAnsi="Times New Roman"/>
          <w:sz w:val="28"/>
          <w:szCs w:val="28"/>
        </w:rPr>
        <w:t>г. №</w:t>
      </w:r>
      <w:r w:rsidR="00420D2B" w:rsidRPr="00DB5CCF">
        <w:rPr>
          <w:rFonts w:ascii="Times New Roman" w:hAnsi="Times New Roman"/>
          <w:sz w:val="28"/>
          <w:szCs w:val="28"/>
        </w:rPr>
        <w:t xml:space="preserve"> </w:t>
      </w:r>
      <w:r w:rsidR="00036893">
        <w:rPr>
          <w:rFonts w:ascii="Times New Roman" w:hAnsi="Times New Roman"/>
          <w:sz w:val="28"/>
          <w:szCs w:val="28"/>
        </w:rPr>
        <w:t>66</w:t>
      </w:r>
    </w:p>
    <w:p w14:paraId="4BD6560C" w14:textId="77777777" w:rsidR="00F137FD" w:rsidRPr="00DB5CC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8AFE146" w14:textId="1856F20A" w:rsidR="00043AE2" w:rsidRPr="00DB5CCF" w:rsidRDefault="00FE090A" w:rsidP="00FE090A">
      <w:pPr>
        <w:pStyle w:val="6"/>
        <w:tabs>
          <w:tab w:val="clear" w:pos="0"/>
          <w:tab w:val="left" w:pos="-142"/>
        </w:tabs>
        <w:spacing w:before="0" w:after="0"/>
        <w:ind w:left="-142" w:right="-145"/>
        <w:jc w:val="center"/>
        <w:rPr>
          <w:b w:val="0"/>
          <w:sz w:val="28"/>
          <w:szCs w:val="28"/>
        </w:rPr>
      </w:pPr>
      <w:bookmarkStart w:id="0" w:name="_GoBack"/>
      <w:r w:rsidRPr="00A96EC6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473FBE">
        <w:rPr>
          <w:b w:val="0"/>
          <w:sz w:val="28"/>
          <w:szCs w:val="28"/>
        </w:rPr>
        <w:t>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 w:rsidRPr="00A96EC6">
        <w:rPr>
          <w:b w:val="0"/>
          <w:sz w:val="28"/>
        </w:rPr>
        <w:t>МКП «</w:t>
      </w:r>
      <w:proofErr w:type="spellStart"/>
      <w:r w:rsidRPr="00A96EC6">
        <w:rPr>
          <w:b w:val="0"/>
          <w:sz w:val="28"/>
        </w:rPr>
        <w:t>Елатомское</w:t>
      </w:r>
      <w:proofErr w:type="spellEnd"/>
      <w:r w:rsidRPr="00A96EC6">
        <w:rPr>
          <w:b w:val="0"/>
          <w:sz w:val="28"/>
        </w:rPr>
        <w:t xml:space="preserve"> ЖКХ» </w:t>
      </w:r>
      <w:r>
        <w:rPr>
          <w:b w:val="0"/>
          <w:bCs w:val="0"/>
          <w:sz w:val="28"/>
          <w:szCs w:val="28"/>
        </w:rPr>
        <w:t>в </w:t>
      </w:r>
      <w:proofErr w:type="spellStart"/>
      <w:r w:rsidRPr="00A96EC6">
        <w:rPr>
          <w:b w:val="0"/>
          <w:bCs w:val="0"/>
          <w:sz w:val="28"/>
          <w:szCs w:val="28"/>
        </w:rPr>
        <w:t>Елатомско</w:t>
      </w:r>
      <w:r>
        <w:rPr>
          <w:b w:val="0"/>
          <w:bCs w:val="0"/>
          <w:sz w:val="28"/>
          <w:szCs w:val="28"/>
        </w:rPr>
        <w:t>м</w:t>
      </w:r>
      <w:proofErr w:type="spellEnd"/>
      <w:r w:rsidRPr="00A96EC6">
        <w:rPr>
          <w:b w:val="0"/>
          <w:bCs w:val="0"/>
          <w:sz w:val="28"/>
          <w:szCs w:val="28"/>
        </w:rPr>
        <w:t xml:space="preserve"> городско</w:t>
      </w:r>
      <w:r>
        <w:rPr>
          <w:b w:val="0"/>
          <w:bCs w:val="0"/>
          <w:sz w:val="28"/>
          <w:szCs w:val="28"/>
        </w:rPr>
        <w:t>м поселении</w:t>
      </w:r>
      <w:r w:rsidRPr="00A96EC6">
        <w:rPr>
          <w:b w:val="0"/>
          <w:bCs w:val="0"/>
          <w:sz w:val="28"/>
          <w:szCs w:val="28"/>
        </w:rPr>
        <w:t xml:space="preserve"> Касимовского муниципального района</w:t>
      </w:r>
    </w:p>
    <w:bookmarkEnd w:id="0"/>
    <w:p w14:paraId="0E622F3F" w14:textId="77777777" w:rsidR="003B3E8E" w:rsidRPr="00DB5CC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7BB3E41" w14:textId="77777777" w:rsidR="007E1ED0" w:rsidRPr="00DB5CC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5CC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5CCF">
        <w:rPr>
          <w:rFonts w:ascii="Times New Roman" w:hAnsi="Times New Roman"/>
          <w:sz w:val="28"/>
          <w:szCs w:val="28"/>
        </w:rPr>
        <w:t> </w:t>
      </w:r>
      <w:r w:rsidR="0063036C" w:rsidRPr="00DB5CCF">
        <w:rPr>
          <w:rFonts w:ascii="Times New Roman" w:hAnsi="Times New Roman"/>
          <w:sz w:val="28"/>
          <w:szCs w:val="28"/>
        </w:rPr>
        <w:t>121 «Об </w:t>
      </w:r>
      <w:r w:rsidR="007E1ED0" w:rsidRPr="00DB5CC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5CCF">
        <w:rPr>
          <w:rFonts w:ascii="Times New Roman" w:hAnsi="Times New Roman"/>
          <w:sz w:val="28"/>
          <w:szCs w:val="28"/>
        </w:rPr>
        <w:t>,</w:t>
      </w:r>
      <w:r w:rsidR="007E1ED0" w:rsidRPr="00DB5CC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5503090" w14:textId="77777777" w:rsidR="004114A0" w:rsidRPr="00DB5CC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28CDB1" w14:textId="77777777" w:rsidR="00FE090A" w:rsidRPr="00A96EC6" w:rsidRDefault="00FE090A" w:rsidP="00FE090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EC6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A96EC6">
        <w:rPr>
          <w:rFonts w:ascii="Times New Roman" w:hAnsi="Times New Roman"/>
          <w:sz w:val="28"/>
        </w:rPr>
        <w:t>МКП «</w:t>
      </w:r>
      <w:proofErr w:type="spellStart"/>
      <w:r w:rsidRPr="00A96EC6">
        <w:rPr>
          <w:rFonts w:ascii="Times New Roman" w:hAnsi="Times New Roman"/>
          <w:sz w:val="28"/>
        </w:rPr>
        <w:t>Елатомское</w:t>
      </w:r>
      <w:proofErr w:type="spellEnd"/>
      <w:r w:rsidRPr="00A96EC6">
        <w:rPr>
          <w:rFonts w:ascii="Times New Roman" w:hAnsi="Times New Roman"/>
          <w:sz w:val="28"/>
        </w:rPr>
        <w:t xml:space="preserve"> ЖКХ» </w:t>
      </w:r>
      <w:r w:rsidRPr="00A96EC6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A96EC6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Pr="00A96EC6">
        <w:rPr>
          <w:rFonts w:ascii="Times New Roman" w:hAnsi="Times New Roman"/>
          <w:bCs/>
          <w:sz w:val="28"/>
          <w:szCs w:val="28"/>
        </w:rPr>
        <w:t xml:space="preserve"> городском поселении Касимовского муниципального района</w:t>
      </w:r>
      <w:r w:rsidRPr="00A96EC6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0B67F9F6" w14:textId="77777777" w:rsidR="00FE090A" w:rsidRPr="00E36B36" w:rsidRDefault="00FE090A" w:rsidP="00FE090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B36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F34768">
        <w:rPr>
          <w:rFonts w:ascii="Times New Roman" w:hAnsi="Times New Roman"/>
          <w:sz w:val="28"/>
          <w:szCs w:val="28"/>
        </w:rPr>
        <w:t>гарантирующей организации</w:t>
      </w:r>
      <w:r w:rsidRPr="00E36B36">
        <w:rPr>
          <w:rFonts w:ascii="Times New Roman" w:hAnsi="Times New Roman"/>
          <w:sz w:val="28"/>
          <w:szCs w:val="28"/>
        </w:rPr>
        <w:t xml:space="preserve"> </w:t>
      </w:r>
      <w:r w:rsidRPr="00E36B36">
        <w:rPr>
          <w:rFonts w:ascii="Times New Roman" w:hAnsi="Times New Roman"/>
          <w:sz w:val="28"/>
        </w:rPr>
        <w:t>МКП «</w:t>
      </w:r>
      <w:proofErr w:type="spellStart"/>
      <w:r w:rsidRPr="00E36B36">
        <w:rPr>
          <w:rFonts w:ascii="Times New Roman" w:hAnsi="Times New Roman"/>
          <w:sz w:val="28"/>
        </w:rPr>
        <w:t>Елатомское</w:t>
      </w:r>
      <w:proofErr w:type="spellEnd"/>
      <w:r w:rsidRPr="00E36B36">
        <w:rPr>
          <w:rFonts w:ascii="Times New Roman" w:hAnsi="Times New Roman"/>
          <w:sz w:val="28"/>
        </w:rPr>
        <w:t xml:space="preserve"> ЖКХ» </w:t>
      </w:r>
      <w:r w:rsidRPr="00E36B36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E36B36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Pr="00E36B36">
        <w:rPr>
          <w:rFonts w:ascii="Times New Roman" w:hAnsi="Times New Roman"/>
          <w:bCs/>
          <w:sz w:val="28"/>
          <w:szCs w:val="28"/>
        </w:rPr>
        <w:t xml:space="preserve"> городском поселении Касимовского муниципального района</w:t>
      </w:r>
      <w:r w:rsidRPr="00E36B36">
        <w:rPr>
          <w:rFonts w:ascii="Times New Roman" w:hAnsi="Times New Roman"/>
          <w:sz w:val="28"/>
        </w:rPr>
        <w:t xml:space="preserve"> согласно приложению № 2.</w:t>
      </w:r>
    </w:p>
    <w:p w14:paraId="2EED132E" w14:textId="77777777" w:rsidR="00FE090A" w:rsidRPr="00A96EC6" w:rsidRDefault="00FE090A" w:rsidP="00FE090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36B36">
        <w:rPr>
          <w:rFonts w:ascii="Times New Roman" w:hAnsi="Times New Roman"/>
          <w:spacing w:val="-6"/>
          <w:sz w:val="28"/>
          <w:szCs w:val="28"/>
        </w:rPr>
        <w:t>3. Установить долгосрочные параметры регулирования для</w:t>
      </w:r>
      <w:r w:rsidRPr="00A96EC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6EC6">
        <w:rPr>
          <w:rFonts w:ascii="Times New Roman" w:hAnsi="Times New Roman"/>
          <w:sz w:val="28"/>
        </w:rPr>
        <w:t>МКП «</w:t>
      </w:r>
      <w:proofErr w:type="spellStart"/>
      <w:r w:rsidRPr="00A96EC6">
        <w:rPr>
          <w:rFonts w:ascii="Times New Roman" w:hAnsi="Times New Roman"/>
          <w:sz w:val="28"/>
        </w:rPr>
        <w:t>Елатомское</w:t>
      </w:r>
      <w:proofErr w:type="spellEnd"/>
      <w:r w:rsidRPr="00A96EC6">
        <w:rPr>
          <w:rFonts w:ascii="Times New Roman" w:hAnsi="Times New Roman"/>
          <w:sz w:val="28"/>
        </w:rPr>
        <w:t xml:space="preserve"> ЖКХ» </w:t>
      </w:r>
      <w:r w:rsidRPr="00A96EC6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A96EC6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Pr="00A96EC6">
        <w:rPr>
          <w:rFonts w:ascii="Times New Roman" w:hAnsi="Times New Roman"/>
          <w:bCs/>
          <w:sz w:val="28"/>
          <w:szCs w:val="28"/>
        </w:rPr>
        <w:t xml:space="preserve"> городском поселении Касимовского муниципального района</w:t>
      </w:r>
      <w:r w:rsidRPr="00A96EC6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 3.</w:t>
      </w:r>
    </w:p>
    <w:p w14:paraId="04DD0E8B" w14:textId="2665161C" w:rsidR="00BC2AAF" w:rsidRPr="00BB2B4A" w:rsidRDefault="005B4003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BB2B4A">
        <w:rPr>
          <w:rFonts w:ascii="Times New Roman" w:hAnsi="Times New Roman"/>
          <w:sz w:val="28"/>
          <w:szCs w:val="28"/>
        </w:rPr>
        <w:t xml:space="preserve">. </w:t>
      </w:r>
      <w:r w:rsidR="00BC2AAF" w:rsidRPr="00BB2B4A">
        <w:rPr>
          <w:rFonts w:ascii="Times New Roman" w:hAnsi="Times New Roman"/>
          <w:sz w:val="28"/>
          <w:szCs w:val="28"/>
        </w:rPr>
        <w:t>Тариф</w:t>
      </w:r>
      <w:r w:rsidR="00035622" w:rsidRPr="00BB2B4A">
        <w:rPr>
          <w:rFonts w:ascii="Times New Roman" w:hAnsi="Times New Roman"/>
          <w:sz w:val="28"/>
          <w:szCs w:val="28"/>
        </w:rPr>
        <w:t>ы</w:t>
      </w:r>
      <w:r w:rsidR="00BC2AAF" w:rsidRPr="00BB2B4A">
        <w:rPr>
          <w:rFonts w:ascii="Times New Roman" w:hAnsi="Times New Roman"/>
          <w:sz w:val="28"/>
          <w:szCs w:val="28"/>
        </w:rPr>
        <w:t>, установленны</w:t>
      </w:r>
      <w:r w:rsidR="00035622" w:rsidRPr="00BB2B4A">
        <w:rPr>
          <w:rFonts w:ascii="Times New Roman" w:hAnsi="Times New Roman"/>
          <w:sz w:val="28"/>
          <w:szCs w:val="28"/>
        </w:rPr>
        <w:t>е</w:t>
      </w:r>
      <w:r w:rsidR="00BC2AAF" w:rsidRPr="00BB2B4A">
        <w:rPr>
          <w:rFonts w:ascii="Times New Roman" w:hAnsi="Times New Roman"/>
          <w:sz w:val="28"/>
          <w:szCs w:val="28"/>
        </w:rPr>
        <w:t xml:space="preserve"> п</w:t>
      </w:r>
      <w:r w:rsidR="00D261A0" w:rsidRPr="00BB2B4A">
        <w:rPr>
          <w:rFonts w:ascii="Times New Roman" w:hAnsi="Times New Roman"/>
          <w:sz w:val="28"/>
          <w:szCs w:val="28"/>
        </w:rPr>
        <w:t>унктом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AC315F">
        <w:rPr>
          <w:rFonts w:ascii="Times New Roman" w:hAnsi="Times New Roman"/>
          <w:sz w:val="28"/>
          <w:szCs w:val="28"/>
        </w:rPr>
        <w:t>2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D261A0" w:rsidRPr="00BB2B4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BB2B4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BB2B4A">
        <w:rPr>
          <w:rFonts w:ascii="Times New Roman" w:hAnsi="Times New Roman"/>
          <w:sz w:val="28"/>
          <w:szCs w:val="28"/>
        </w:rPr>
        <w:t>ю</w:t>
      </w:r>
      <w:r w:rsidR="00BC2AAF" w:rsidRPr="00BB2B4A">
        <w:rPr>
          <w:rFonts w:ascii="Times New Roman" w:hAnsi="Times New Roman"/>
          <w:sz w:val="28"/>
          <w:szCs w:val="28"/>
        </w:rPr>
        <w:t>т</w:t>
      </w:r>
      <w:r w:rsidR="0028236E" w:rsidRPr="00BB2B4A">
        <w:rPr>
          <w:rFonts w:ascii="Times New Roman" w:hAnsi="Times New Roman"/>
          <w:sz w:val="28"/>
          <w:szCs w:val="28"/>
        </w:rPr>
        <w:t xml:space="preserve"> </w:t>
      </w:r>
      <w:r w:rsidR="00043AE2" w:rsidRPr="00BB2B4A">
        <w:rPr>
          <w:rFonts w:ascii="Times New Roman" w:hAnsi="Times New Roman"/>
          <w:sz w:val="28"/>
          <w:szCs w:val="28"/>
        </w:rPr>
        <w:t>с 01 января 20</w:t>
      </w:r>
      <w:r w:rsidR="00200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043AE2" w:rsidRPr="00BB2B4A">
        <w:rPr>
          <w:rFonts w:ascii="Times New Roman" w:hAnsi="Times New Roman"/>
          <w:sz w:val="28"/>
          <w:szCs w:val="28"/>
        </w:rPr>
        <w:t xml:space="preserve"> года </w:t>
      </w:r>
      <w:r w:rsidR="00BC2AAF" w:rsidRPr="00BB2B4A">
        <w:rPr>
          <w:rFonts w:ascii="Times New Roman" w:hAnsi="Times New Roman"/>
          <w:sz w:val="28"/>
          <w:szCs w:val="28"/>
        </w:rPr>
        <w:t xml:space="preserve">по </w:t>
      </w:r>
      <w:r w:rsidR="00CE6076" w:rsidRPr="00BB2B4A">
        <w:rPr>
          <w:rFonts w:ascii="Times New Roman" w:hAnsi="Times New Roman"/>
          <w:sz w:val="28"/>
          <w:szCs w:val="28"/>
        </w:rPr>
        <w:t>31 декабря 20</w:t>
      </w:r>
      <w:r w:rsidR="00043AE2" w:rsidRPr="00BB2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E6076" w:rsidRPr="00BB2B4A">
        <w:rPr>
          <w:rFonts w:ascii="Times New Roman" w:hAnsi="Times New Roman"/>
          <w:sz w:val="28"/>
          <w:szCs w:val="28"/>
        </w:rPr>
        <w:t xml:space="preserve"> года</w:t>
      </w:r>
      <w:r w:rsidR="00BC2AAF" w:rsidRPr="00BB2B4A">
        <w:rPr>
          <w:rFonts w:ascii="Times New Roman" w:hAnsi="Times New Roman"/>
          <w:sz w:val="28"/>
          <w:szCs w:val="28"/>
        </w:rPr>
        <w:t>.</w:t>
      </w:r>
    </w:p>
    <w:p w14:paraId="2F838FF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36A350" w14:textId="77777777" w:rsidR="00BB2B4A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2410D2" w14:textId="77777777" w:rsidR="00BB2B4A" w:rsidRPr="00DB5CCF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A6438D" w14:textId="14F7CEBA" w:rsidR="00F137FD" w:rsidRPr="00DB5CCF" w:rsidRDefault="005B40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DB5CC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DB5CC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B7A240F" w14:textId="77777777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C610E4" w14:textId="211AD86E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  <w:t xml:space="preserve">        </w:t>
      </w:r>
      <w:r w:rsidR="005B4003">
        <w:rPr>
          <w:rFonts w:ascii="Times New Roman" w:hAnsi="Times New Roman"/>
          <w:sz w:val="28"/>
          <w:szCs w:val="28"/>
        </w:rPr>
        <w:t>Ю.</w:t>
      </w:r>
      <w:r w:rsidR="00200661"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 xml:space="preserve">. </w:t>
      </w:r>
      <w:r w:rsidR="005B4003">
        <w:rPr>
          <w:rFonts w:ascii="Times New Roman" w:hAnsi="Times New Roman"/>
          <w:sz w:val="28"/>
          <w:szCs w:val="28"/>
        </w:rPr>
        <w:t>Оськин</w:t>
      </w:r>
    </w:p>
    <w:p w14:paraId="4482D292" w14:textId="77777777" w:rsidR="00723B2D" w:rsidRPr="00DB5CC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B5CCF" w:rsidSect="005D0C0E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69D4F969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DB5CCF">
        <w:rPr>
          <w:rFonts w:ascii="Times New Roman" w:hAnsi="Times New Roman"/>
          <w:sz w:val="28"/>
          <w:szCs w:val="28"/>
        </w:rPr>
        <w:t>1</w:t>
      </w:r>
    </w:p>
    <w:p w14:paraId="2A713133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93543" w14:textId="0D2A6036" w:rsidR="00CF1B75" w:rsidRPr="00DB5CC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BE141A">
        <w:rPr>
          <w:rFonts w:ascii="Times New Roman" w:hAnsi="Times New Roman"/>
          <w:sz w:val="28"/>
          <w:szCs w:val="28"/>
        </w:rPr>
        <w:t>9</w:t>
      </w:r>
      <w:r w:rsidR="00EE3185" w:rsidRPr="00DB5CCF">
        <w:rPr>
          <w:rFonts w:ascii="Times New Roman" w:hAnsi="Times New Roman"/>
          <w:sz w:val="28"/>
          <w:szCs w:val="28"/>
        </w:rPr>
        <w:t xml:space="preserve"> </w:t>
      </w:r>
      <w:r w:rsidR="00BE141A">
        <w:rPr>
          <w:rFonts w:ascii="Times New Roman" w:hAnsi="Times New Roman"/>
          <w:sz w:val="28"/>
          <w:szCs w:val="28"/>
        </w:rPr>
        <w:t>ноября</w:t>
      </w:r>
      <w:r w:rsidR="00EB7E87"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036893">
        <w:rPr>
          <w:rFonts w:ascii="Times New Roman" w:hAnsi="Times New Roman"/>
          <w:sz w:val="28"/>
          <w:szCs w:val="28"/>
        </w:rPr>
        <w:t>66</w:t>
      </w:r>
    </w:p>
    <w:p w14:paraId="6BFD2CF8" w14:textId="77777777" w:rsidR="00EB7E87" w:rsidRPr="00DB5CC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EA899D" w14:textId="77777777" w:rsidR="00FE090A" w:rsidRDefault="00FE090A" w:rsidP="00FE090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36B3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976DCEA" w14:textId="13AE2CD8" w:rsidR="00FE090A" w:rsidRPr="003658B6" w:rsidRDefault="00FE090A" w:rsidP="00FE090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F34768">
        <w:rPr>
          <w:rFonts w:ascii="Times New Roman" w:hAnsi="Times New Roman"/>
          <w:sz w:val="28"/>
          <w:szCs w:val="28"/>
        </w:rPr>
        <w:t>гарантирующей организации</w:t>
      </w:r>
      <w:r w:rsidRPr="00F34768">
        <w:rPr>
          <w:b/>
          <w:sz w:val="28"/>
          <w:szCs w:val="28"/>
        </w:rPr>
        <w:t xml:space="preserve"> </w:t>
      </w:r>
      <w:r w:rsidRPr="00F34768">
        <w:rPr>
          <w:rFonts w:ascii="Times New Roman" w:hAnsi="Times New Roman"/>
          <w:sz w:val="28"/>
        </w:rPr>
        <w:t>М</w:t>
      </w:r>
      <w:r w:rsidRPr="003658B6">
        <w:rPr>
          <w:rFonts w:ascii="Times New Roman" w:hAnsi="Times New Roman"/>
          <w:sz w:val="28"/>
        </w:rPr>
        <w:t>КП «</w:t>
      </w:r>
      <w:proofErr w:type="spellStart"/>
      <w:r w:rsidRPr="003658B6">
        <w:rPr>
          <w:rFonts w:ascii="Times New Roman" w:hAnsi="Times New Roman"/>
          <w:sz w:val="28"/>
        </w:rPr>
        <w:t>Елатомское</w:t>
      </w:r>
      <w:proofErr w:type="spellEnd"/>
      <w:r w:rsidRPr="003658B6">
        <w:rPr>
          <w:rFonts w:ascii="Times New Roman" w:hAnsi="Times New Roman"/>
          <w:sz w:val="28"/>
        </w:rPr>
        <w:t xml:space="preserve"> ЖКХ» </w:t>
      </w:r>
      <w:r w:rsidRPr="003658B6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3658B6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Pr="003658B6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ородском поселении Касимовского </w:t>
      </w:r>
      <w:r w:rsidRPr="003658B6">
        <w:rPr>
          <w:rFonts w:ascii="Times New Roman" w:hAnsi="Times New Roman"/>
          <w:bCs/>
          <w:sz w:val="28"/>
          <w:szCs w:val="28"/>
        </w:rPr>
        <w:t>муниципального района</w:t>
      </w:r>
    </w:p>
    <w:p w14:paraId="5005BBDF" w14:textId="77777777" w:rsidR="00FE090A" w:rsidRPr="003658B6" w:rsidRDefault="00FE090A" w:rsidP="00FE090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658B6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5B1B3A54" w14:textId="77777777" w:rsidR="00EB7E87" w:rsidRPr="00DB5CC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997D8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72B702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FE090A" w:rsidRPr="00DB5CCF" w14:paraId="287DBD3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E39C52" w14:textId="77777777" w:rsidR="00FE090A" w:rsidRPr="00DB5CCF" w:rsidRDefault="00FE090A" w:rsidP="00FE09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F0D266" w14:textId="77777777" w:rsidR="00FE090A" w:rsidRPr="00DB5CCF" w:rsidRDefault="00FE090A" w:rsidP="00FE09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48060" w14:textId="5E040F1B" w:rsidR="00FE090A" w:rsidRPr="00834E90" w:rsidRDefault="00FE090A" w:rsidP="00FE09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Елатомское</w:t>
            </w:r>
            <w:proofErr w:type="spellEnd"/>
            <w:r w:rsidRPr="00A37787">
              <w:rPr>
                <w:rFonts w:ascii="Times New Roman" w:hAnsi="Times New Roman"/>
                <w:sz w:val="26"/>
                <w:szCs w:val="26"/>
              </w:rPr>
              <w:t xml:space="preserve"> ЖКХ»</w:t>
            </w:r>
          </w:p>
        </w:tc>
      </w:tr>
      <w:tr w:rsidR="00FE090A" w:rsidRPr="00DB5CCF" w14:paraId="0EAEE4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D1A93E" w14:textId="77777777" w:rsidR="00FE090A" w:rsidRPr="00DB5CCF" w:rsidRDefault="00FE090A" w:rsidP="00FE09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856B8CA" w14:textId="77777777" w:rsidR="00FE090A" w:rsidRPr="00DB5CCF" w:rsidRDefault="00FE090A" w:rsidP="00FE09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FC1499" w14:textId="73C60742" w:rsidR="00FE090A" w:rsidRPr="004964B5" w:rsidRDefault="00FE090A" w:rsidP="00FE09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0349E">
              <w:rPr>
                <w:sz w:val="26"/>
                <w:szCs w:val="26"/>
              </w:rPr>
              <w:t xml:space="preserve">391351, Рязанская область, </w:t>
            </w:r>
            <w:proofErr w:type="spellStart"/>
            <w:r w:rsidRPr="00C0349E">
              <w:rPr>
                <w:sz w:val="26"/>
                <w:szCs w:val="26"/>
              </w:rPr>
              <w:t>Касимовский</w:t>
            </w:r>
            <w:proofErr w:type="spellEnd"/>
            <w:r w:rsidRPr="00C0349E">
              <w:rPr>
                <w:sz w:val="26"/>
                <w:szCs w:val="26"/>
              </w:rPr>
              <w:t xml:space="preserve"> район, </w:t>
            </w:r>
            <w:proofErr w:type="spellStart"/>
            <w:r w:rsidRPr="00C0349E">
              <w:rPr>
                <w:sz w:val="26"/>
                <w:szCs w:val="26"/>
              </w:rPr>
              <w:t>р.п</w:t>
            </w:r>
            <w:proofErr w:type="spellEnd"/>
            <w:r w:rsidRPr="00C0349E">
              <w:rPr>
                <w:sz w:val="26"/>
                <w:szCs w:val="26"/>
              </w:rPr>
              <w:t xml:space="preserve">. Елатьма, </w:t>
            </w:r>
            <w:proofErr w:type="spellStart"/>
            <w:r w:rsidRPr="00C0349E">
              <w:rPr>
                <w:sz w:val="26"/>
                <w:szCs w:val="26"/>
              </w:rPr>
              <w:t>ул.Луначарского</w:t>
            </w:r>
            <w:proofErr w:type="spellEnd"/>
            <w:r w:rsidRPr="00C0349E">
              <w:rPr>
                <w:sz w:val="26"/>
                <w:szCs w:val="26"/>
              </w:rPr>
              <w:t>, д.1</w:t>
            </w:r>
          </w:p>
        </w:tc>
      </w:tr>
      <w:tr w:rsidR="00EB7E87" w:rsidRPr="00DB5CCF" w14:paraId="6B82241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87E2C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13673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6ADBE1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DB5CCF" w14:paraId="22FD47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AFB95B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66D603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E2D17F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DB5CCF" w14:paraId="68925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1D0B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0E587" w14:textId="1D30088C" w:rsidR="00EB7E87" w:rsidRPr="00DB5CCF" w:rsidRDefault="00EB7E87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 w:rsidR="00200661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</w:t>
            </w:r>
            <w:r w:rsidR="00B245C2" w:rsidRPr="00DB5CCF">
              <w:rPr>
                <w:rFonts w:ascii="Times New Roman" w:hAnsi="Times New Roman"/>
                <w:sz w:val="26"/>
                <w:szCs w:val="26"/>
              </w:rPr>
              <w:t>-20</w:t>
            </w:r>
            <w:r w:rsidR="00043AE2" w:rsidRPr="00DB5CCF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DB5CCF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5B550F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B145E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90D8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79A4EC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520"/>
        <w:gridCol w:w="1984"/>
        <w:gridCol w:w="1843"/>
        <w:gridCol w:w="851"/>
        <w:gridCol w:w="708"/>
      </w:tblGrid>
      <w:tr w:rsidR="00EB7E87" w:rsidRPr="00DB5CCF" w14:paraId="131E7041" w14:textId="77777777" w:rsidTr="0009234B">
        <w:trPr>
          <w:trHeight w:val="7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10B8F59D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B32F8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4F32F6F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138CF3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29CB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6F2FE9B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DB5CCF" w14:paraId="02BABE94" w14:textId="77777777" w:rsidTr="0009234B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1C52F5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B5687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4E751A2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795F92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4546B9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5B02399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15270B5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9234B" w:rsidRPr="00DB5CCF" w14:paraId="2239C165" w14:textId="77777777" w:rsidTr="000923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DD9C1" w14:textId="77777777" w:rsidR="0009234B" w:rsidRDefault="0009234B" w:rsidP="0009234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9E79" w14:textId="476A1353" w:rsidR="0009234B" w:rsidRDefault="00473FBE" w:rsidP="0009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Планово-предупредительный ремонт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7853D" w14:textId="344BD872" w:rsidR="0009234B" w:rsidRPr="00515F38" w:rsidRDefault="00473FBE" w:rsidP="0009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F439B" w14:textId="16A8CDFF" w:rsidR="0009234B" w:rsidRPr="00515F38" w:rsidRDefault="00473FBE" w:rsidP="0009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182,15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854" w14:textId="64F36DE6" w:rsidR="0009234B" w:rsidRDefault="00473FBE" w:rsidP="0009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DB4A5" w14:textId="69CC0E95" w:rsidR="0009234B" w:rsidRPr="00DB5CCF" w:rsidRDefault="00473FBE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7E785" w14:textId="545857E6" w:rsidR="0009234B" w:rsidRPr="00DB5CCF" w:rsidRDefault="00473FBE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9234B" w:rsidRPr="00DB5CCF" w14:paraId="47A68326" w14:textId="77777777" w:rsidTr="0009234B">
        <w:trPr>
          <w:jc w:val="center"/>
        </w:trPr>
        <w:tc>
          <w:tcPr>
            <w:tcW w:w="988" w:type="dxa"/>
            <w:shd w:val="clear" w:color="auto" w:fill="auto"/>
          </w:tcPr>
          <w:p w14:paraId="56607582" w14:textId="5DE1D760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D88D7A3" w14:textId="77777777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shd w:val="clear" w:color="auto" w:fill="auto"/>
          </w:tcPr>
          <w:p w14:paraId="15C57922" w14:textId="1C12C48E" w:rsidR="0009234B" w:rsidRPr="00DB5CCF" w:rsidRDefault="0009234B" w:rsidP="0009234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3C4DCED" w14:textId="7312D48C" w:rsidR="0009234B" w:rsidRPr="00DB5CCF" w:rsidRDefault="00473FBE" w:rsidP="0009234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4631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D9453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301BC7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22B2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F96DF" w14:textId="77777777" w:rsidR="008568C8" w:rsidRPr="00DB5CC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DB5CC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8BB8F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DB5CC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54387F1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4003" w:rsidRPr="00366943" w14:paraId="71E870B7" w14:textId="77777777" w:rsidTr="0009234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E279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FF1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BF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F141" w14:textId="24D89E1C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FB18" w14:textId="25365C79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8F34" w14:textId="318643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7C4E" w14:textId="06E95CAB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A1F1" w14:textId="70865E3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73FBE" w:rsidRPr="00366943" w14:paraId="4D65237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91855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7ED3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92791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A104" w14:textId="0D258362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143" w14:textId="22D51E78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0617" w14:textId="3D4B5AE2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7687" w14:textId="19E60ECC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C82C" w14:textId="0BC8419A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473FBE" w:rsidRPr="00366943" w14:paraId="06E721FB" w14:textId="77777777" w:rsidTr="0009234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F54A4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F670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0FEE1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CF8F" w14:textId="732DF32E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8846" w14:textId="64FEB8A9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D1C6" w14:textId="0EEA5650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BCB" w14:textId="29D2792F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61F" w14:textId="1C8963F9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473FBE" w:rsidRPr="00366943" w14:paraId="5D32366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F4EEE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FBDF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253C9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FB39" w14:textId="44D72ED6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6BD6" w14:textId="1AFF07C9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813" w14:textId="4EFDF61B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87BE" w14:textId="0A7FC815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DF" w14:textId="5DCD15AE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73FBE" w:rsidRPr="00366943" w14:paraId="448D1D6F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ED933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5F0E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E7AA5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EEA0" w14:textId="0E2C9CCA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2C25" w14:textId="44DA5C12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4DDF" w14:textId="7FD748BD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A52" w14:textId="632B9675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4CD" w14:textId="1FC5A654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473FBE" w:rsidRPr="00366943" w14:paraId="232F2EF7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F17AB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EDFC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5C7EB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6773" w14:textId="6087AB13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81E4" w14:textId="080B0545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DCDF" w14:textId="010E803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3712" w14:textId="1A37F5A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8221" w14:textId="7C8AB07D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473FBE" w:rsidRPr="00366943" w14:paraId="19588BC1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980B0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BA4E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F810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3A5C" w14:textId="4FBAF2DC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5E9" w14:textId="29D5DCAB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EEBF" w14:textId="245858ED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614" w14:textId="6FD6BCE9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2BF1" w14:textId="6FA1B2A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473FBE" w:rsidRPr="00366943" w14:paraId="44207826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61E5D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B8EB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DCED6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BBD0" w14:textId="5203BE88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CC2" w14:textId="0C7F533B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B248" w14:textId="6C584B5F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4BE5" w14:textId="1C1A22EB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84EE" w14:textId="294FABA1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0,00%</w:t>
            </w:r>
          </w:p>
        </w:tc>
      </w:tr>
      <w:tr w:rsidR="00473FBE" w:rsidRPr="00366943" w14:paraId="7BBE3152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E33E8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068D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A1CB3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D1D3" w14:textId="74B154B9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5A7B" w14:textId="0BA8C06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D775" w14:textId="12506799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4E0" w14:textId="31BA56FB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9942" w14:textId="7077F5CF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473FBE" w:rsidRPr="00366943" w14:paraId="7E39812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70768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FAEB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DF6EB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5E46" w14:textId="520C3DEF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9985" w14:textId="63E8D05B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0FC" w14:textId="31A31FFD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9D4" w14:textId="54A7AB35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264" w14:textId="451DFA7D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473FBE" w:rsidRPr="00366943" w14:paraId="0A1883D7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C219C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4E49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4706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7870" w14:textId="3AB0D610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090" w14:textId="758E16B6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CFEA" w14:textId="5A0F0AB8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286A" w14:textId="3F5FE9CB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2D45" w14:textId="2A1F63A7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473FBE" w:rsidRPr="00366943" w14:paraId="5867B87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6856D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9AE2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CCB5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838" w14:textId="2D10EE4B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55C" w14:textId="670A3448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3364" w14:textId="0E1B1E92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EAB" w14:textId="5D98ECE8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89B5" w14:textId="113EDA22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499C">
              <w:rPr>
                <w:bCs/>
                <w:color w:val="000000"/>
                <w:sz w:val="26"/>
                <w:szCs w:val="26"/>
              </w:rPr>
              <w:t>131,100</w:t>
            </w:r>
          </w:p>
        </w:tc>
      </w:tr>
      <w:tr w:rsidR="00473FBE" w:rsidRPr="00366943" w14:paraId="701125E9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BE97F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7F2F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03F1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1489" w14:textId="7D927BD9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965" w14:textId="0D84AB37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986C" w14:textId="417085D4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42E" w14:textId="4EC56A28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4698" w14:textId="33430360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91,774</w:t>
            </w:r>
          </w:p>
        </w:tc>
      </w:tr>
      <w:tr w:rsidR="00473FBE" w:rsidRPr="00366943" w14:paraId="41802AC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83CAD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9B61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AC9B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A461" w14:textId="77A63468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F08E" w14:textId="35A91687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7730" w14:textId="14CAF81A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329" w14:textId="06864D43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D4B" w14:textId="2CE5361E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25,632</w:t>
            </w:r>
          </w:p>
        </w:tc>
      </w:tr>
      <w:tr w:rsidR="00473FBE" w:rsidRPr="00366943" w14:paraId="36AEA906" w14:textId="77777777" w:rsidTr="0009234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3F9F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AD3A" w14:textId="77777777" w:rsidR="00473FBE" w:rsidRPr="00366943" w:rsidRDefault="00473FBE" w:rsidP="00473FB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0444B" w14:textId="77777777" w:rsidR="00473FBE" w:rsidRPr="00366943" w:rsidRDefault="00473FBE" w:rsidP="00473FB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9E4" w14:textId="3E356E4C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5F5" w14:textId="32D1FFB4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1A9" w14:textId="499CA801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913" w14:textId="694EB6D0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F17" w14:textId="7059F83C" w:rsidR="00473FBE" w:rsidRPr="00366943" w:rsidRDefault="00473FBE" w:rsidP="0047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9C">
              <w:rPr>
                <w:color w:val="000000"/>
                <w:sz w:val="26"/>
                <w:szCs w:val="26"/>
              </w:rPr>
              <w:t>13,694</w:t>
            </w:r>
          </w:p>
        </w:tc>
      </w:tr>
    </w:tbl>
    <w:p w14:paraId="6597105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5AA62E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A624FB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E564D0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4003" w:rsidRPr="00366943" w14:paraId="03B75A03" w14:textId="77777777" w:rsidTr="000923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8CF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E59" w14:textId="17E0CE81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B4E" w14:textId="265EF2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69" w14:textId="239AFDB7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59" w14:textId="0C041A1E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CEE" w14:textId="0A738ED3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B4003" w:rsidRPr="00366943" w14:paraId="190E192F" w14:textId="77777777" w:rsidTr="0009234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682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384" w14:textId="345804B3" w:rsidR="005B4003" w:rsidRPr="00366943" w:rsidRDefault="00473FBE" w:rsidP="005B400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4849,55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413" w14:textId="01BFFFDE" w:rsidR="005B4003" w:rsidRPr="00366943" w:rsidRDefault="00473FBE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5003,66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D91" w14:textId="40612E29" w:rsidR="005B4003" w:rsidRPr="00366943" w:rsidRDefault="00473FBE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5162,94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B426" w14:textId="53A6B96A" w:rsidR="005B4003" w:rsidRPr="00366943" w:rsidRDefault="00473FBE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5325,78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CB" w14:textId="70494606" w:rsidR="005B4003" w:rsidRPr="00366943" w:rsidRDefault="00473FBE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5494,06</w:t>
            </w:r>
          </w:p>
        </w:tc>
      </w:tr>
    </w:tbl>
    <w:p w14:paraId="4CE8E5D5" w14:textId="77777777" w:rsidR="00805F6A" w:rsidRPr="00DB5CCF" w:rsidRDefault="00805F6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05F6A" w:rsidRPr="00DB5CCF" w:rsidSect="00200661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DC5FA57" w14:textId="77777777" w:rsidR="00EB7E87" w:rsidRPr="00DB5CCF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DB5CC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200661" w:rsidRPr="00366943" w14:paraId="0F13ACA9" w14:textId="77777777" w:rsidTr="0009234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ACE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F6D4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05D8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FB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6B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3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EC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8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2B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2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9E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00661" w:rsidRPr="00366943" w14:paraId="7AC36E28" w14:textId="77777777" w:rsidTr="0009234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A6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E1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2A2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D16" w14:textId="62A6011C" w:rsidR="00200661" w:rsidRPr="00366943" w:rsidRDefault="00200661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D6" w14:textId="3BA9F7C9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B80" w14:textId="358CCBD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F4A" w14:textId="3404024A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FCB" w14:textId="73DFDCEE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4/2023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448" w14:textId="1998E593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36" w14:textId="44D76181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48" w14:textId="29C0FCF2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F94" w14:textId="6157720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473FBE" w:rsidRPr="00366943" w14:paraId="648374D2" w14:textId="77777777" w:rsidTr="00957E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C3A" w14:textId="77777777" w:rsidR="00473FBE" w:rsidRPr="00366943" w:rsidRDefault="00473FBE" w:rsidP="00473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51D" w14:textId="77777777" w:rsidR="00473FBE" w:rsidRPr="00366943" w:rsidRDefault="00473FBE" w:rsidP="00473FB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6C" w14:textId="7777777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171" w14:textId="13EC752B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CC9" w14:textId="7157B88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D2C" w14:textId="4D4EFEF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F3D" w14:textId="6A972C9B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38D" w14:textId="449713F8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A47" w14:textId="72E5ECE1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629" w14:textId="79BD6121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77E" w14:textId="714436AE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3F" w14:textId="60F2AF9D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73FBE" w:rsidRPr="00366943" w14:paraId="5374FD0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680" w14:textId="77777777" w:rsidR="00473FBE" w:rsidRPr="00366943" w:rsidRDefault="00473FBE" w:rsidP="00473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9CB" w14:textId="77777777" w:rsidR="00473FBE" w:rsidRPr="00366943" w:rsidRDefault="00473FBE" w:rsidP="00473FB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D" w14:textId="7777777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9D7" w14:textId="5948045B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60C" w14:textId="3ADC0D99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523" w14:textId="270267B2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431" w14:textId="2250EB96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BE5" w14:textId="156A9DC1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FD7" w14:textId="3632BACC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82B" w14:textId="5334FB1A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406" w14:textId="3291E9DD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22E" w14:textId="22C59FD3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73FBE" w:rsidRPr="00366943" w14:paraId="2132627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322" w14:textId="77777777" w:rsidR="00473FBE" w:rsidRPr="00366943" w:rsidRDefault="00473FBE" w:rsidP="00473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E05" w14:textId="77777777" w:rsidR="00473FBE" w:rsidRPr="00366943" w:rsidRDefault="00473FBE" w:rsidP="00473FB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A86" w14:textId="7777777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EF3" w14:textId="129121A5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9ED" w14:textId="64C46F1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76F" w14:textId="5EE59486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B1A" w14:textId="287FBF1C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CC1" w14:textId="47D35443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674" w14:textId="115465EF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EC7" w14:textId="6DD74243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B94" w14:textId="7615E645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AF2" w14:textId="412FCE7E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73FBE" w:rsidRPr="00366943" w14:paraId="0B3A7BC7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93C" w14:textId="77777777" w:rsidR="00473FBE" w:rsidRPr="00366943" w:rsidRDefault="00473FBE" w:rsidP="00473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062" w14:textId="77777777" w:rsidR="00473FBE" w:rsidRPr="00366943" w:rsidRDefault="00473FBE" w:rsidP="00473FB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BA4" w14:textId="7777777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F26" w14:textId="62118120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636" w14:textId="5493A228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8D" w14:textId="3EC0CA33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461" w14:textId="0519CF1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14E" w14:textId="4A2945B2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EAD" w14:textId="2C638FF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550" w14:textId="0295AE9A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5F5" w14:textId="4357F734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52D" w14:textId="20B354A5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73FBE" w:rsidRPr="00366943" w14:paraId="245A23FC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F42" w14:textId="77777777" w:rsidR="00473FBE" w:rsidRPr="00366943" w:rsidRDefault="00473FBE" w:rsidP="00473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923" w14:textId="77777777" w:rsidR="00473FBE" w:rsidRPr="00366943" w:rsidRDefault="00473FBE" w:rsidP="00473FBE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53E" w14:textId="7777777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3DA07D5" w14:textId="77777777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E31" w14:textId="1AC304C0" w:rsidR="00473FBE" w:rsidRPr="00366943" w:rsidRDefault="00473FBE" w:rsidP="00473FB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5C" w14:textId="469A062D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4FB" w14:textId="1DEBD0AE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7B1" w14:textId="7AB15F00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837" w14:textId="01968142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ACB" w14:textId="05E97701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E68" w14:textId="6887136A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B64" w14:textId="2100BBBC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3B3" w14:textId="342ED6F1" w:rsidR="00473FBE" w:rsidRPr="00366943" w:rsidRDefault="00473FBE" w:rsidP="00473F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616A4" w:rsidRPr="00366943" w14:paraId="2E0B3DD2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8BD" w14:textId="77777777" w:rsidR="00E616A4" w:rsidRPr="00366943" w:rsidRDefault="00E616A4" w:rsidP="00E6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B5C" w14:textId="77777777" w:rsidR="00E616A4" w:rsidRPr="00366943" w:rsidRDefault="00E616A4" w:rsidP="00E616A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3F2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6649EB6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96F" w14:textId="2D9DB1E0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380C" w14:textId="1F75ACBB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6F5" w14:textId="74F22A6A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5EC" w14:textId="388C0360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E62" w14:textId="09521B93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2AA" w14:textId="493ACC0B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E29" w14:textId="2DF87BA5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2E6" w14:textId="4884FFD7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986" w14:textId="30AC26FC" w:rsidR="00E616A4" w:rsidRPr="00366943" w:rsidRDefault="00473FBE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004F6999" w14:textId="77777777" w:rsidR="002B0E3C" w:rsidRPr="00DB5CCF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2D0ED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DB5CCF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865CC5E" w14:textId="07AF8D29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6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515F38">
        <w:rPr>
          <w:rFonts w:ascii="Times New Roman" w:hAnsi="Times New Roman" w:cs="Times New Roman"/>
          <w:sz w:val="28"/>
          <w:szCs w:val="28"/>
        </w:rPr>
        <w:t>(20</w:t>
      </w:r>
      <w:r w:rsidR="005B4003">
        <w:rPr>
          <w:rFonts w:ascii="Times New Roman" w:hAnsi="Times New Roman" w:cs="Times New Roman"/>
          <w:sz w:val="28"/>
          <w:szCs w:val="28"/>
        </w:rPr>
        <w:t>20</w:t>
      </w:r>
      <w:r w:rsidRPr="00515F3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45E2A2B" w14:textId="77777777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515F38" w14:paraId="52F020F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22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B94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78" w14:textId="52A31BBE" w:rsidR="00EB7E87" w:rsidRPr="00515F38" w:rsidRDefault="00EB7E87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20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20</w:t>
            </w:r>
            <w:r w:rsidRPr="00515F3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515F38" w14:paraId="41586AD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599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4F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2A9" w14:textId="585C3BE0" w:rsidR="00EB7E87" w:rsidRPr="00515F38" w:rsidRDefault="00D9624B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132,00</w:t>
            </w:r>
          </w:p>
        </w:tc>
      </w:tr>
    </w:tbl>
    <w:p w14:paraId="78088895" w14:textId="77777777" w:rsidR="00735AEC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6CB655" w14:textId="77777777" w:rsidR="00200661" w:rsidRPr="00DB5CCF" w:rsidRDefault="0020066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9BE4F9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7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ABF54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DB5CCF" w14:paraId="0FA7750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ACD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D0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7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E3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DB5CCF" w14:paraId="4958CED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D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A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CA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096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04F336" w14:textId="77777777" w:rsidR="00CF1B75" w:rsidRPr="00DB5CC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F35348" w14:textId="77777777" w:rsidR="00E561B2" w:rsidRPr="00DB5CCF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DB5CCF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7EB41" w14:textId="7B563F9F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2</w:t>
      </w:r>
    </w:p>
    <w:p w14:paraId="0B790C56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DAEC20" w14:textId="2DB9B090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BE141A">
        <w:rPr>
          <w:rFonts w:ascii="Times New Roman" w:hAnsi="Times New Roman"/>
          <w:sz w:val="28"/>
          <w:szCs w:val="28"/>
        </w:rPr>
        <w:t>9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BE141A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036893">
        <w:rPr>
          <w:rFonts w:ascii="Times New Roman" w:hAnsi="Times New Roman"/>
          <w:sz w:val="28"/>
          <w:szCs w:val="28"/>
        </w:rPr>
        <w:t>66</w:t>
      </w:r>
    </w:p>
    <w:p w14:paraId="12A159E6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29593B41" w14:textId="77777777" w:rsidR="00FE090A" w:rsidRPr="00A37787" w:rsidRDefault="00FE090A" w:rsidP="00FE090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1" w:name="_Hlk86055822"/>
      <w:r w:rsidRPr="00A37787">
        <w:rPr>
          <w:b w:val="0"/>
          <w:sz w:val="28"/>
          <w:szCs w:val="28"/>
        </w:rPr>
        <w:t xml:space="preserve">Тарифы на питьевую воду для потребителей </w:t>
      </w:r>
      <w:r w:rsidRPr="00E258E8">
        <w:rPr>
          <w:b w:val="0"/>
          <w:sz w:val="28"/>
          <w:szCs w:val="28"/>
        </w:rPr>
        <w:t>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>МКП «</w:t>
      </w:r>
      <w:proofErr w:type="spellStart"/>
      <w:r>
        <w:rPr>
          <w:b w:val="0"/>
          <w:sz w:val="28"/>
        </w:rPr>
        <w:t>Елатомское</w:t>
      </w:r>
      <w:proofErr w:type="spellEnd"/>
      <w:r>
        <w:rPr>
          <w:b w:val="0"/>
          <w:sz w:val="28"/>
        </w:rPr>
        <w:t xml:space="preserve"> ЖКХ» </w:t>
      </w:r>
      <w:r>
        <w:rPr>
          <w:b w:val="0"/>
          <w:bCs w:val="0"/>
          <w:sz w:val="28"/>
          <w:szCs w:val="28"/>
        </w:rPr>
        <w:t>в </w:t>
      </w:r>
      <w:proofErr w:type="spellStart"/>
      <w:r>
        <w:rPr>
          <w:b w:val="0"/>
          <w:bCs w:val="0"/>
          <w:sz w:val="28"/>
          <w:szCs w:val="28"/>
        </w:rPr>
        <w:t>Елатомском</w:t>
      </w:r>
      <w:proofErr w:type="spellEnd"/>
      <w:r>
        <w:rPr>
          <w:b w:val="0"/>
          <w:bCs w:val="0"/>
          <w:sz w:val="28"/>
          <w:szCs w:val="28"/>
        </w:rPr>
        <w:t> городском поселении Касимовского муниципального района</w:t>
      </w:r>
    </w:p>
    <w:p w14:paraId="2480275A" w14:textId="77777777" w:rsidR="00E561B2" w:rsidRPr="00DB5CCF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00661" w:rsidRPr="00246539" w14:paraId="5B91ABEF" w14:textId="77777777" w:rsidTr="000923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27671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C99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2EA0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6D4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0661" w:rsidRPr="00246539" w14:paraId="2048D961" w14:textId="77777777" w:rsidTr="0009234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CEAE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C4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1C1A" w14:textId="77777777" w:rsidR="00200661" w:rsidRPr="00246539" w:rsidRDefault="00200661" w:rsidP="002006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4003" w:rsidRPr="001A2F33" w14:paraId="12AAED76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201A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253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B91" w14:textId="721E7D6C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B31C" w14:textId="16BE868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F3" w14:textId="2571B7FF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36,41</w:t>
            </w:r>
          </w:p>
        </w:tc>
      </w:tr>
      <w:tr w:rsidR="005B4003" w:rsidRPr="001A2F33" w14:paraId="2F0584B7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90C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CBA8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B3" w14:textId="77777777" w:rsidR="005B4003" w:rsidRPr="00246539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FE50" w14:textId="263BD145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514" w14:textId="40F3CCCA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5B4003" w:rsidRPr="001A2F33" w14:paraId="47305C54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00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AF22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8D19" w14:textId="5FD810F1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D3DE" w14:textId="7F0ED55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D90C" w14:textId="0FA5B862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5B4003" w:rsidRPr="001A2F33" w14:paraId="13C24098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DA7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3F6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80F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CC4F" w14:textId="771AC0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C9C5" w14:textId="7C23AFB7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38,76</w:t>
            </w:r>
          </w:p>
        </w:tc>
      </w:tr>
      <w:tr w:rsidR="005B4003" w:rsidRPr="001A2F33" w14:paraId="44AC8C92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B94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2C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0B6" w14:textId="5868DE0D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FD3A" w14:textId="4A1B865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C01" w14:textId="47EF06BA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38,76</w:t>
            </w:r>
          </w:p>
        </w:tc>
      </w:tr>
      <w:tr w:rsidR="005B4003" w:rsidRPr="001A2F33" w14:paraId="529C1C0C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A0B2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67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037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008F" w14:textId="1CFDADD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B9" w14:textId="4463CFB4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40,00</w:t>
            </w:r>
          </w:p>
        </w:tc>
      </w:tr>
      <w:tr w:rsidR="005B4003" w:rsidRPr="001A2F33" w14:paraId="50ABE457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E887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59A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155" w14:textId="4B030312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8B05" w14:textId="4D99AD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234C" w14:textId="0CB88EF5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40,00</w:t>
            </w:r>
          </w:p>
        </w:tc>
      </w:tr>
      <w:tr w:rsidR="005B4003" w:rsidRPr="001A2F33" w14:paraId="0F2596AD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AD40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3A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E66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4FE" w14:textId="1BB2DFAD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5A5E" w14:textId="3FFDC72B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41,25</w:t>
            </w:r>
          </w:p>
        </w:tc>
      </w:tr>
      <w:tr w:rsidR="005B4003" w:rsidRPr="001A2F33" w14:paraId="655112A1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2C1D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00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EEC" w14:textId="75F4723E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5088" w14:textId="6674202E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15B" w14:textId="682D91D5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41,25</w:t>
            </w:r>
          </w:p>
        </w:tc>
      </w:tr>
      <w:tr w:rsidR="005B4003" w:rsidRPr="001A2F33" w14:paraId="0F6AA0BA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AC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111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096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2AE" w14:textId="221EBC7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7D02" w14:textId="1F61C9A4" w:rsidR="005B4003" w:rsidRPr="001A2F33" w:rsidRDefault="00D9624B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42,57</w:t>
            </w:r>
          </w:p>
        </w:tc>
      </w:tr>
      <w:tr w:rsidR="005B4003" w:rsidRPr="00246539" w14:paraId="56978293" w14:textId="77777777" w:rsidTr="0009234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C1B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AF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FD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624B" w:rsidRPr="00B458E8" w14:paraId="39EBD89B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3D2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C0C6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2B1" w14:textId="1E5CDA01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F665" w14:textId="6B2424CA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F38" w14:textId="7002DA8D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36,41</w:t>
            </w:r>
          </w:p>
        </w:tc>
      </w:tr>
      <w:tr w:rsidR="00D9624B" w:rsidRPr="00B458E8" w14:paraId="16A89354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42B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1A4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704" w14:textId="77777777" w:rsidR="00D9624B" w:rsidRPr="00246539" w:rsidRDefault="00D9624B" w:rsidP="00D962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2E09" w14:textId="64A43DB6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0834" w14:textId="38873395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D9624B" w:rsidRPr="00B458E8" w14:paraId="44E9C41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A839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8114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518" w14:textId="0BE0515A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8D7" w14:textId="379DA231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91E5" w14:textId="35D2A562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D9624B" w:rsidRPr="00B458E8" w14:paraId="1EC7F7F2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DEFA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C3D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D2" w14:textId="77777777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1D13" w14:textId="356409FE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4F4D" w14:textId="6D1F7AAA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38,76</w:t>
            </w:r>
          </w:p>
        </w:tc>
      </w:tr>
      <w:tr w:rsidR="00D9624B" w:rsidRPr="00B458E8" w14:paraId="47DD5E9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B083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B3B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1A34" w14:textId="59E02718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E25A" w14:textId="0748AB0C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9002" w14:textId="6BB1B255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38,76</w:t>
            </w:r>
          </w:p>
        </w:tc>
      </w:tr>
      <w:tr w:rsidR="00D9624B" w:rsidRPr="00B458E8" w14:paraId="6C2E3AFA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93BC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4B6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38C" w14:textId="77777777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3BFF" w14:textId="09D6B159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32E" w14:textId="1B135A59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40,00</w:t>
            </w:r>
          </w:p>
        </w:tc>
      </w:tr>
      <w:tr w:rsidR="00D9624B" w:rsidRPr="00B458E8" w14:paraId="694E097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EFB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41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31C" w14:textId="0C5E4979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0771" w14:textId="18356BE5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B5B" w14:textId="507DB85C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40,00</w:t>
            </w:r>
          </w:p>
        </w:tc>
      </w:tr>
      <w:tr w:rsidR="00D9624B" w:rsidRPr="00B458E8" w14:paraId="6EF84BE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80A" w14:textId="77777777" w:rsidR="00D9624B" w:rsidRPr="00246539" w:rsidRDefault="00D9624B" w:rsidP="00D9624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5C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54A" w14:textId="77777777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8A92" w14:textId="5478E7DD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FD7" w14:textId="02168BD3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41,25</w:t>
            </w:r>
          </w:p>
        </w:tc>
      </w:tr>
      <w:tr w:rsidR="00D9624B" w:rsidRPr="00B458E8" w14:paraId="7D87DD64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D8F" w14:textId="77777777" w:rsidR="00D9624B" w:rsidRPr="00246539" w:rsidRDefault="00D9624B" w:rsidP="00D962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C9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70E" w14:textId="7F2B768C" w:rsidR="00D9624B" w:rsidRPr="00246539" w:rsidRDefault="00D9624B" w:rsidP="00D962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9DA0" w14:textId="78E483A1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DF4A" w14:textId="35FECE6E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41,25</w:t>
            </w:r>
          </w:p>
        </w:tc>
      </w:tr>
      <w:tr w:rsidR="00D9624B" w:rsidRPr="00B458E8" w14:paraId="2915774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86B" w14:textId="77777777" w:rsidR="00D9624B" w:rsidRPr="00246539" w:rsidRDefault="00D9624B" w:rsidP="00D962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AB5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9CA" w14:textId="77777777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03C6" w14:textId="14891D88" w:rsidR="00D9624B" w:rsidRPr="00246539" w:rsidRDefault="00D9624B" w:rsidP="00D962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128" w14:textId="0B423552" w:rsidR="00D9624B" w:rsidRPr="00B458E8" w:rsidRDefault="00D9624B" w:rsidP="00D962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42,57</w:t>
            </w:r>
          </w:p>
        </w:tc>
      </w:tr>
      <w:bookmarkEnd w:id="1"/>
    </w:tbl>
    <w:p w14:paraId="71FA20FB" w14:textId="77777777" w:rsidR="00043AE2" w:rsidRPr="00DB5CCF" w:rsidRDefault="00043AE2" w:rsidP="00E561B2">
      <w:pPr>
        <w:rPr>
          <w:rFonts w:ascii="Times New Roman" w:hAnsi="Times New Roman"/>
        </w:rPr>
        <w:sectPr w:rsidR="00043AE2" w:rsidRPr="00DB5CCF" w:rsidSect="005B4003">
          <w:footnotePr>
            <w:pos w:val="beneathText"/>
          </w:footnotePr>
          <w:pgSz w:w="16837" w:h="11905" w:orient="landscape"/>
          <w:pgMar w:top="1702" w:right="851" w:bottom="284" w:left="1134" w:header="720" w:footer="720" w:gutter="0"/>
          <w:cols w:space="720"/>
          <w:docGrid w:linePitch="272"/>
        </w:sectPr>
      </w:pPr>
    </w:p>
    <w:p w14:paraId="23D0403C" w14:textId="021DEE17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3</w:t>
      </w:r>
    </w:p>
    <w:p w14:paraId="073D0BCD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FA6E52" w14:textId="47B75FF3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BE141A">
        <w:rPr>
          <w:rFonts w:ascii="Times New Roman" w:hAnsi="Times New Roman"/>
          <w:sz w:val="28"/>
          <w:szCs w:val="28"/>
        </w:rPr>
        <w:t>9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BE141A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036893">
        <w:rPr>
          <w:rFonts w:ascii="Times New Roman" w:hAnsi="Times New Roman"/>
          <w:sz w:val="28"/>
          <w:szCs w:val="28"/>
        </w:rPr>
        <w:t>66</w:t>
      </w:r>
    </w:p>
    <w:p w14:paraId="61671821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1589BF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90F41B" w14:textId="77777777" w:rsidR="00FE090A" w:rsidRPr="00A37787" w:rsidRDefault="00FE090A" w:rsidP="00FE090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BF18B26" w14:textId="77777777" w:rsidR="00FE090A" w:rsidRPr="003658B6" w:rsidRDefault="00FE090A" w:rsidP="00FE090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658B6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3658B6">
        <w:rPr>
          <w:rFonts w:ascii="Times New Roman" w:hAnsi="Times New Roman"/>
          <w:sz w:val="28"/>
        </w:rPr>
        <w:t>МКП «</w:t>
      </w:r>
      <w:proofErr w:type="spellStart"/>
      <w:r w:rsidRPr="003658B6">
        <w:rPr>
          <w:rFonts w:ascii="Times New Roman" w:hAnsi="Times New Roman"/>
          <w:sz w:val="28"/>
        </w:rPr>
        <w:t>Елатомское</w:t>
      </w:r>
      <w:proofErr w:type="spellEnd"/>
      <w:r w:rsidRPr="003658B6">
        <w:rPr>
          <w:rFonts w:ascii="Times New Roman" w:hAnsi="Times New Roman"/>
          <w:sz w:val="28"/>
        </w:rPr>
        <w:t xml:space="preserve"> ЖКХ» </w:t>
      </w:r>
      <w:r w:rsidRPr="003658B6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3658B6">
        <w:rPr>
          <w:rFonts w:ascii="Times New Roman" w:hAnsi="Times New Roman"/>
          <w:bCs/>
          <w:sz w:val="28"/>
          <w:szCs w:val="28"/>
        </w:rPr>
        <w:t>Елатомском</w:t>
      </w:r>
      <w:proofErr w:type="spellEnd"/>
      <w:r w:rsidRPr="003658B6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ородском поселении Касимовского </w:t>
      </w:r>
      <w:r w:rsidRPr="003658B6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3658B6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с применением метода индексации </w:t>
      </w:r>
    </w:p>
    <w:p w14:paraId="32F33FB1" w14:textId="77777777" w:rsidR="00E561B2" w:rsidRPr="00DB5CC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2896"/>
        <w:gridCol w:w="3828"/>
      </w:tblGrid>
      <w:tr w:rsidR="00200661" w:rsidRPr="00246539" w14:paraId="64947426" w14:textId="77777777" w:rsidTr="0009234B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EC3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ED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5E0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00661" w:rsidRPr="00246539" w14:paraId="2B023C05" w14:textId="77777777" w:rsidTr="0009234B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B9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C8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B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045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50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00661" w:rsidRPr="00246539" w14:paraId="2541868B" w14:textId="77777777" w:rsidTr="0009234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EC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726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D21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0A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D4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B12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246539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246539">
              <w:rPr>
                <w:rFonts w:ascii="Times New Roman" w:hAnsi="Times New Roman"/>
                <w:sz w:val="26"/>
                <w:szCs w:val="26"/>
              </w:rPr>
              <w:t>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00661" w:rsidRPr="00246539" w14:paraId="0FAFAABF" w14:textId="77777777" w:rsidTr="0009234B">
        <w:trPr>
          <w:trHeight w:val="190"/>
          <w:tblCellSpacing w:w="5" w:type="nil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6A4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B4003" w:rsidRPr="00246539" w14:paraId="117E7E15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AB5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69DE" w14:textId="05F5208A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ADE" w14:textId="33B6BD01" w:rsidR="005B4003" w:rsidRPr="001C15D1" w:rsidRDefault="00F3476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3516,09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BD0" w14:textId="047DADB4" w:rsidR="005B4003" w:rsidRPr="00F34768" w:rsidRDefault="00F3476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0C8" w14:textId="1CB2C9DF" w:rsidR="005B4003" w:rsidRPr="00246539" w:rsidRDefault="00F3476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E32" w14:textId="1B55E756" w:rsidR="005B4003" w:rsidRPr="00246539" w:rsidRDefault="00F3476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1,179</w:t>
            </w:r>
          </w:p>
        </w:tc>
      </w:tr>
      <w:tr w:rsidR="00F34768" w:rsidRPr="00246539" w14:paraId="4A0ECF9D" w14:textId="77777777" w:rsidTr="005866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DE8" w14:textId="77777777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28C" w14:textId="27EDF639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2" w14:textId="51C1840F" w:rsidR="00F34768" w:rsidRPr="0009234B" w:rsidRDefault="00F34768" w:rsidP="00F3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BF6" w14:textId="647D79CD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AB6" w14:textId="218CAA9F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2C2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063" w14:textId="0779A60E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902">
              <w:rPr>
                <w:rFonts w:ascii="Times New Roman" w:hAnsi="Times New Roman"/>
                <w:sz w:val="26"/>
                <w:szCs w:val="26"/>
              </w:rPr>
              <w:t>1,179</w:t>
            </w:r>
          </w:p>
        </w:tc>
      </w:tr>
      <w:tr w:rsidR="00F34768" w:rsidRPr="00246539" w14:paraId="3D420214" w14:textId="77777777" w:rsidTr="000947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839" w14:textId="77777777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28B" w14:textId="6F0BA300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568" w14:textId="02A10204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ABD" w14:textId="3CB69C24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3FA" w14:textId="2C7A4857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2C2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3F5" w14:textId="60E41C5C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902">
              <w:rPr>
                <w:rFonts w:ascii="Times New Roman" w:hAnsi="Times New Roman"/>
                <w:sz w:val="26"/>
                <w:szCs w:val="26"/>
              </w:rPr>
              <w:t>1,179</w:t>
            </w:r>
          </w:p>
        </w:tc>
      </w:tr>
      <w:tr w:rsidR="00F34768" w:rsidRPr="00246539" w14:paraId="07CCA8E2" w14:textId="77777777" w:rsidTr="000947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C53" w14:textId="77777777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493" w14:textId="2C791CFB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DCA0" w14:textId="69C387C6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C11" w14:textId="4490F5C8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F21" w14:textId="6A35FC62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2C2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E7E" w14:textId="2A20D4E2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902">
              <w:rPr>
                <w:rFonts w:ascii="Times New Roman" w:hAnsi="Times New Roman"/>
                <w:sz w:val="26"/>
                <w:szCs w:val="26"/>
              </w:rPr>
              <w:t>1,179</w:t>
            </w:r>
          </w:p>
        </w:tc>
      </w:tr>
      <w:tr w:rsidR="00F34768" w:rsidRPr="00246539" w14:paraId="0B55B809" w14:textId="77777777" w:rsidTr="000947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29" w14:textId="77777777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7989" w14:textId="3D5984E7" w:rsidR="00F34768" w:rsidRPr="00246539" w:rsidRDefault="00F34768" w:rsidP="00F34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F56" w14:textId="0D3C96B1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5BF" w14:textId="0831D84B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1927" w14:textId="34202015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2C2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973" w14:textId="4893A550" w:rsidR="00F34768" w:rsidRPr="00246539" w:rsidRDefault="00F34768" w:rsidP="00F347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902">
              <w:rPr>
                <w:rFonts w:ascii="Times New Roman" w:hAnsi="Times New Roman"/>
                <w:sz w:val="26"/>
                <w:szCs w:val="26"/>
              </w:rPr>
              <w:t>1,179</w:t>
            </w:r>
          </w:p>
        </w:tc>
      </w:tr>
    </w:tbl>
    <w:p w14:paraId="7568C88D" w14:textId="77777777" w:rsidR="008568C8" w:rsidRPr="00DB5CCF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CCF">
        <w:rPr>
          <w:rFonts w:ascii="Times New Roman" w:hAnsi="Times New Roman"/>
          <w:sz w:val="24"/>
          <w:szCs w:val="24"/>
        </w:rPr>
        <w:t xml:space="preserve">*- </w:t>
      </w:r>
      <w:r w:rsidRPr="00DB5CCF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B5CCF" w:rsidSect="00043AE2">
      <w:footnotePr>
        <w:pos w:val="beneathText"/>
      </w:footnotePr>
      <w:pgSz w:w="16837" w:h="11905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6893"/>
    <w:rsid w:val="00037F68"/>
    <w:rsid w:val="00043AE2"/>
    <w:rsid w:val="00066CD0"/>
    <w:rsid w:val="00072586"/>
    <w:rsid w:val="0008082A"/>
    <w:rsid w:val="00084B8C"/>
    <w:rsid w:val="0009208B"/>
    <w:rsid w:val="0009234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3AC4"/>
    <w:rsid w:val="000E76CB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4A18"/>
    <w:rsid w:val="001874F5"/>
    <w:rsid w:val="00190498"/>
    <w:rsid w:val="001B427C"/>
    <w:rsid w:val="001D2119"/>
    <w:rsid w:val="001D4941"/>
    <w:rsid w:val="001E46A9"/>
    <w:rsid w:val="001E7111"/>
    <w:rsid w:val="001E7FD8"/>
    <w:rsid w:val="00200661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73FBE"/>
    <w:rsid w:val="00492C95"/>
    <w:rsid w:val="004B3E44"/>
    <w:rsid w:val="004C66C4"/>
    <w:rsid w:val="004C6D31"/>
    <w:rsid w:val="004E4812"/>
    <w:rsid w:val="004E698F"/>
    <w:rsid w:val="004E6B13"/>
    <w:rsid w:val="00502802"/>
    <w:rsid w:val="00511047"/>
    <w:rsid w:val="0051171F"/>
    <w:rsid w:val="00513E75"/>
    <w:rsid w:val="00515F38"/>
    <w:rsid w:val="00536228"/>
    <w:rsid w:val="005412AB"/>
    <w:rsid w:val="00542FD3"/>
    <w:rsid w:val="005430F5"/>
    <w:rsid w:val="00546D03"/>
    <w:rsid w:val="00552856"/>
    <w:rsid w:val="0056289F"/>
    <w:rsid w:val="00572C0D"/>
    <w:rsid w:val="0058273C"/>
    <w:rsid w:val="0058724A"/>
    <w:rsid w:val="00596797"/>
    <w:rsid w:val="005A7B34"/>
    <w:rsid w:val="005B015F"/>
    <w:rsid w:val="005B4003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93A87"/>
    <w:rsid w:val="006A00BA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45557"/>
    <w:rsid w:val="00752600"/>
    <w:rsid w:val="007669E1"/>
    <w:rsid w:val="00771627"/>
    <w:rsid w:val="007734E7"/>
    <w:rsid w:val="007854B2"/>
    <w:rsid w:val="00787BF2"/>
    <w:rsid w:val="007A1914"/>
    <w:rsid w:val="007C6133"/>
    <w:rsid w:val="007D1407"/>
    <w:rsid w:val="007D5050"/>
    <w:rsid w:val="007E1822"/>
    <w:rsid w:val="007E1ED0"/>
    <w:rsid w:val="007F23E8"/>
    <w:rsid w:val="007F34FE"/>
    <w:rsid w:val="007F4121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4A83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5EE8"/>
    <w:rsid w:val="00957EAA"/>
    <w:rsid w:val="009647B1"/>
    <w:rsid w:val="00965661"/>
    <w:rsid w:val="00970111"/>
    <w:rsid w:val="0097460A"/>
    <w:rsid w:val="009852CA"/>
    <w:rsid w:val="00990FED"/>
    <w:rsid w:val="009A3EEF"/>
    <w:rsid w:val="009A4564"/>
    <w:rsid w:val="009A7FA3"/>
    <w:rsid w:val="009C3363"/>
    <w:rsid w:val="009C6054"/>
    <w:rsid w:val="009D00B3"/>
    <w:rsid w:val="009D42FE"/>
    <w:rsid w:val="009E7E5E"/>
    <w:rsid w:val="009F282B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1176"/>
    <w:rsid w:val="00AA2868"/>
    <w:rsid w:val="00AB36F7"/>
    <w:rsid w:val="00AB7C76"/>
    <w:rsid w:val="00AC315F"/>
    <w:rsid w:val="00AC5BE9"/>
    <w:rsid w:val="00AD0F36"/>
    <w:rsid w:val="00AE0BD8"/>
    <w:rsid w:val="00AE0E63"/>
    <w:rsid w:val="00AF730B"/>
    <w:rsid w:val="00B049D8"/>
    <w:rsid w:val="00B0581B"/>
    <w:rsid w:val="00B05D77"/>
    <w:rsid w:val="00B245C2"/>
    <w:rsid w:val="00B30B7C"/>
    <w:rsid w:val="00B51BAF"/>
    <w:rsid w:val="00B523A8"/>
    <w:rsid w:val="00B52A50"/>
    <w:rsid w:val="00B72821"/>
    <w:rsid w:val="00B81B3D"/>
    <w:rsid w:val="00BB2B4A"/>
    <w:rsid w:val="00BB4B2A"/>
    <w:rsid w:val="00BB6C1E"/>
    <w:rsid w:val="00BC2AAF"/>
    <w:rsid w:val="00BD0294"/>
    <w:rsid w:val="00BE141A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66549"/>
    <w:rsid w:val="00C71A7E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D01B7"/>
    <w:rsid w:val="00CD47E3"/>
    <w:rsid w:val="00CD4A4F"/>
    <w:rsid w:val="00CE6076"/>
    <w:rsid w:val="00CF1B75"/>
    <w:rsid w:val="00D03F87"/>
    <w:rsid w:val="00D14D61"/>
    <w:rsid w:val="00D261A0"/>
    <w:rsid w:val="00D31047"/>
    <w:rsid w:val="00D40C61"/>
    <w:rsid w:val="00D472C4"/>
    <w:rsid w:val="00D52A64"/>
    <w:rsid w:val="00D549E8"/>
    <w:rsid w:val="00D61761"/>
    <w:rsid w:val="00D62F5B"/>
    <w:rsid w:val="00D83E5D"/>
    <w:rsid w:val="00D94F06"/>
    <w:rsid w:val="00D9624B"/>
    <w:rsid w:val="00DA528F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16A4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1095"/>
    <w:rsid w:val="00ED20E4"/>
    <w:rsid w:val="00ED2ED5"/>
    <w:rsid w:val="00ED36F2"/>
    <w:rsid w:val="00ED5EF9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37FD"/>
    <w:rsid w:val="00F2533F"/>
    <w:rsid w:val="00F2772D"/>
    <w:rsid w:val="00F34768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E090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B8E"/>
  <w15:chartTrackingRefBased/>
  <w15:docId w15:val="{1CA1E906-EFB3-4EF4-B224-2AD32E8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9890-0A69-4DEF-9DC0-0C681172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2020-12-17T14:02:00Z</cp:lastPrinted>
  <dcterms:created xsi:type="dcterms:W3CDTF">2021-09-15T06:57:00Z</dcterms:created>
  <dcterms:modified xsi:type="dcterms:W3CDTF">2021-11-09T12:48:00Z</dcterms:modified>
</cp:coreProperties>
</file>