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3"/>
        <w:gridCol w:w="4677"/>
      </w:tblGrid>
      <w:tr w:rsidR="00265841" w:rsidRPr="00190FF9" w:rsidTr="00076FFC">
        <w:tc>
          <w:tcPr>
            <w:tcW w:w="4503" w:type="dxa"/>
          </w:tcPr>
          <w:p w:rsidR="00265841" w:rsidRPr="00D83790" w:rsidRDefault="00265841" w:rsidP="00076FFC">
            <w:pPr>
              <w:widowControl w:val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677" w:type="dxa"/>
          </w:tcPr>
          <w:p w:rsidR="00265841" w:rsidRDefault="00265841" w:rsidP="0026584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190FF9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№ 2</w:t>
            </w:r>
          </w:p>
          <w:p w:rsidR="00265841" w:rsidRPr="00F640FD" w:rsidRDefault="00265841" w:rsidP="00265841">
            <w:pPr>
              <w:widowControl w:val="0"/>
              <w:rPr>
                <w:sz w:val="28"/>
              </w:rPr>
            </w:pPr>
            <w:r w:rsidRPr="00F640FD">
              <w:rPr>
                <w:sz w:val="28"/>
              </w:rPr>
              <w:t xml:space="preserve">к постановлению Главархитектуры Рязанской области </w:t>
            </w:r>
          </w:p>
          <w:p w:rsidR="00265841" w:rsidRDefault="00875277" w:rsidP="00265841">
            <w:pPr>
              <w:widowControl w:val="0"/>
              <w:ind w:left="35" w:hanging="35"/>
            </w:pPr>
            <w:r>
              <w:rPr>
                <w:sz w:val="28"/>
              </w:rPr>
              <w:t>от 18 ноября</w:t>
            </w:r>
            <w:r w:rsidRPr="00F640FD">
              <w:rPr>
                <w:sz w:val="28"/>
              </w:rPr>
              <w:t xml:space="preserve"> 2021 г. № </w:t>
            </w:r>
            <w:r>
              <w:rPr>
                <w:sz w:val="28"/>
              </w:rPr>
              <w:t>525-п</w:t>
            </w:r>
            <w:bookmarkStart w:id="0" w:name="_GoBack"/>
            <w:bookmarkEnd w:id="0"/>
          </w:p>
          <w:p w:rsidR="00265841" w:rsidRPr="003229C7" w:rsidRDefault="00265841" w:rsidP="00076FFC">
            <w:pPr>
              <w:widowControl w:val="0"/>
              <w:rPr>
                <w:sz w:val="28"/>
              </w:rPr>
            </w:pPr>
          </w:p>
        </w:tc>
      </w:tr>
    </w:tbl>
    <w:p w:rsidR="00265841" w:rsidRDefault="00265841" w:rsidP="00265841">
      <w:pPr>
        <w:widowControl w:val="0"/>
        <w:jc w:val="both"/>
        <w:rPr>
          <w:sz w:val="28"/>
        </w:rPr>
      </w:pPr>
    </w:p>
    <w:p w:rsidR="00265841" w:rsidRPr="00744965" w:rsidRDefault="00265841" w:rsidP="00265841">
      <w:pPr>
        <w:pStyle w:val="ConsPlusNormal"/>
        <w:ind w:firstLine="709"/>
        <w:jc w:val="both"/>
        <w:rPr>
          <w:sz w:val="28"/>
          <w:szCs w:val="28"/>
        </w:rPr>
      </w:pPr>
      <w:bookmarkStart w:id="1" w:name="Par30"/>
      <w:bookmarkStart w:id="2" w:name="Par133"/>
      <w:bookmarkStart w:id="3" w:name="Par138"/>
      <w:bookmarkStart w:id="4" w:name="Par145"/>
      <w:bookmarkStart w:id="5" w:name="Par149"/>
      <w:bookmarkEnd w:id="1"/>
      <w:bookmarkEnd w:id="2"/>
      <w:bookmarkEnd w:id="3"/>
      <w:bookmarkEnd w:id="4"/>
      <w:bookmarkEnd w:id="5"/>
    </w:p>
    <w:p w:rsidR="00265841" w:rsidRPr="00744965" w:rsidRDefault="00265841" w:rsidP="00265841">
      <w:pPr>
        <w:pStyle w:val="3"/>
        <w:ind w:left="568"/>
        <w:jc w:val="center"/>
        <w:rPr>
          <w:sz w:val="28"/>
          <w:szCs w:val="28"/>
        </w:rPr>
      </w:pPr>
      <w:r w:rsidRPr="00744965">
        <w:rPr>
          <w:sz w:val="28"/>
          <w:szCs w:val="28"/>
        </w:rPr>
        <w:t>ПОРЯДОК</w:t>
      </w:r>
    </w:p>
    <w:p w:rsidR="00265841" w:rsidRPr="00744965" w:rsidRDefault="00265841" w:rsidP="00265841">
      <w:pPr>
        <w:pStyle w:val="3"/>
        <w:ind w:left="568"/>
        <w:jc w:val="center"/>
        <w:rPr>
          <w:sz w:val="28"/>
          <w:szCs w:val="28"/>
        </w:rPr>
      </w:pPr>
      <w:r w:rsidRPr="00744965">
        <w:rPr>
          <w:sz w:val="28"/>
          <w:szCs w:val="28"/>
        </w:rPr>
        <w:t xml:space="preserve">определения границ территории, подлежащей </w:t>
      </w:r>
    </w:p>
    <w:p w:rsidR="00265841" w:rsidRPr="00744965" w:rsidRDefault="00265841" w:rsidP="00265841">
      <w:pPr>
        <w:pStyle w:val="3"/>
        <w:ind w:left="568"/>
        <w:jc w:val="center"/>
      </w:pPr>
      <w:r w:rsidRPr="00744965">
        <w:rPr>
          <w:sz w:val="28"/>
          <w:szCs w:val="28"/>
        </w:rPr>
        <w:t>комплексному развитию в Рязанской области</w:t>
      </w:r>
    </w:p>
    <w:p w:rsidR="00265841" w:rsidRPr="00744965" w:rsidRDefault="00265841" w:rsidP="00265841">
      <w:pPr>
        <w:pStyle w:val="3"/>
        <w:ind w:firstLine="709"/>
        <w:jc w:val="center"/>
        <w:rPr>
          <w:b/>
          <w:sz w:val="28"/>
          <w:szCs w:val="28"/>
        </w:rPr>
      </w:pPr>
    </w:p>
    <w:p w:rsidR="00265841" w:rsidRPr="00744965" w:rsidRDefault="00265841" w:rsidP="00265841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744965">
        <w:rPr>
          <w:rFonts w:ascii="Times New Roman" w:hAnsi="Times New Roman"/>
          <w:sz w:val="28"/>
          <w:szCs w:val="28"/>
        </w:rPr>
        <w:t>1. Настоящий Порядок устанавлива</w:t>
      </w:r>
      <w:r>
        <w:rPr>
          <w:rFonts w:ascii="Times New Roman" w:hAnsi="Times New Roman"/>
          <w:sz w:val="28"/>
          <w:szCs w:val="28"/>
        </w:rPr>
        <w:t>ется в соответствии с пунктом 2 </w:t>
      </w:r>
      <w:r w:rsidRPr="00744965">
        <w:rPr>
          <w:rFonts w:ascii="Times New Roman" w:hAnsi="Times New Roman"/>
          <w:sz w:val="28"/>
          <w:szCs w:val="28"/>
        </w:rPr>
        <w:t>части 5 статьи 66 Градостроительного кодекса Российской Федерации, пунктом 16.5 части 1 статьи 3 Закона Рязанской области от 21.09.2010                     № 101-ОЗ «О градостроительной деятельности на территории Рязанской области», в целях реализации решения о комплексном развитии территории жилой застройки в случаях, указанных в пунктах 2 и 3 части 2 статьи 66 Градостроительного кодекса Российской Федерации.</w:t>
      </w:r>
    </w:p>
    <w:p w:rsidR="00265841" w:rsidRPr="00744965" w:rsidRDefault="00265841" w:rsidP="0026584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65">
        <w:rPr>
          <w:rFonts w:ascii="Times New Roman" w:hAnsi="Times New Roman"/>
          <w:bCs/>
          <w:sz w:val="28"/>
          <w:szCs w:val="28"/>
        </w:rPr>
        <w:t>2. Сведения о границах территории, подлежащей комплексному развитию, включаются в решение о комплексном развитии территории жилой застройки, в случае его принятия Правительством Рязанской области, либо главой администрации муниципального образования Рязанской области.</w:t>
      </w:r>
    </w:p>
    <w:p w:rsidR="00265841" w:rsidRPr="00744965" w:rsidRDefault="00265841" w:rsidP="0026584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65">
        <w:rPr>
          <w:rFonts w:ascii="Times New Roman" w:hAnsi="Times New Roman"/>
          <w:bCs/>
          <w:sz w:val="28"/>
          <w:szCs w:val="28"/>
        </w:rPr>
        <w:t>3. Сведения о границах территории, подлежащей комплексному развитию,  должны содержать графическое описание местоположения  границ территории, подлежащей комплексному развитию, в виде схемы, подготовленной с использованием топографических материалов масштаба 1:500 - 1:2000, на которой отражаются границы элементов планировочной структуры и существующие объекты недвижимого имущества, перечень координат характерных точек границ территории, подлежащей комплексному развитию, в системе координат, используемых для ведения Единого государственного реестра недвижимости, а также текстовое описание местоположения границ территории, подлежащей комплексному развитию.</w:t>
      </w:r>
    </w:p>
    <w:p w:rsidR="00265841" w:rsidRPr="00744965" w:rsidRDefault="00265841" w:rsidP="0026584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65">
        <w:rPr>
          <w:rFonts w:ascii="Times New Roman" w:hAnsi="Times New Roman"/>
          <w:bCs/>
          <w:sz w:val="28"/>
          <w:szCs w:val="28"/>
        </w:rPr>
        <w:t xml:space="preserve">4. Границы территории, подлежащей комплексному развитию,  определяются в соответствии с требованиями </w:t>
      </w:r>
      <w:hyperlink r:id="rId6" w:history="1">
        <w:r w:rsidRPr="00744965">
          <w:rPr>
            <w:rFonts w:ascii="Times New Roman" w:hAnsi="Times New Roman"/>
            <w:bCs/>
            <w:sz w:val="28"/>
            <w:szCs w:val="28"/>
          </w:rPr>
          <w:t>статьи 65</w:t>
        </w:r>
      </w:hyperlink>
      <w:r w:rsidRPr="00744965">
        <w:rPr>
          <w:rFonts w:ascii="Times New Roman" w:hAnsi="Times New Roman"/>
          <w:bCs/>
          <w:sz w:val="28"/>
          <w:szCs w:val="28"/>
        </w:rPr>
        <w:t xml:space="preserve"> Градостроительного кодекса Российской Федерации и устанавливаются по:</w:t>
      </w:r>
    </w:p>
    <w:p w:rsidR="00265841" w:rsidRPr="00744965" w:rsidRDefault="00265841" w:rsidP="0026584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65">
        <w:rPr>
          <w:rFonts w:ascii="Times New Roman" w:hAnsi="Times New Roman"/>
          <w:bCs/>
          <w:sz w:val="28"/>
          <w:szCs w:val="28"/>
        </w:rPr>
        <w:t>1) линиям магистралей, улиц, проездов, разделяющим транспортные потоки противоположных направлений;</w:t>
      </w:r>
    </w:p>
    <w:p w:rsidR="00265841" w:rsidRPr="00744965" w:rsidRDefault="00265841" w:rsidP="0026584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65">
        <w:rPr>
          <w:rFonts w:ascii="Times New Roman" w:hAnsi="Times New Roman"/>
          <w:bCs/>
          <w:sz w:val="28"/>
          <w:szCs w:val="28"/>
        </w:rPr>
        <w:t>2) границам территориальных зон;</w:t>
      </w:r>
    </w:p>
    <w:p w:rsidR="00265841" w:rsidRPr="00744965" w:rsidRDefault="00265841" w:rsidP="0026584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65">
        <w:rPr>
          <w:rFonts w:ascii="Times New Roman" w:hAnsi="Times New Roman"/>
          <w:bCs/>
          <w:sz w:val="28"/>
          <w:szCs w:val="28"/>
        </w:rPr>
        <w:t>3) красным линиям;</w:t>
      </w:r>
    </w:p>
    <w:p w:rsidR="00265841" w:rsidRPr="00744965" w:rsidRDefault="00265841" w:rsidP="0026584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44965">
        <w:rPr>
          <w:rFonts w:ascii="Times New Roman" w:hAnsi="Times New Roman"/>
          <w:bCs/>
          <w:sz w:val="28"/>
          <w:szCs w:val="28"/>
        </w:rPr>
        <w:t>4) границам земельных участков, на которых расположены объекты, которые планируется включить в проект решения о комплексном развитии территорий жилой застройки;</w:t>
      </w:r>
    </w:p>
    <w:p w:rsidR="00265841" w:rsidRPr="00744965" w:rsidRDefault="00265841" w:rsidP="0026584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744965">
        <w:rPr>
          <w:rFonts w:ascii="Times New Roman" w:hAnsi="Times New Roman"/>
          <w:bCs/>
          <w:sz w:val="28"/>
          <w:szCs w:val="28"/>
        </w:rPr>
        <w:t>5) границам населенных пунктов в пределах муниципальных образований Рязанской области;</w:t>
      </w:r>
    </w:p>
    <w:p w:rsidR="0022403D" w:rsidRPr="00265841" w:rsidRDefault="00265841" w:rsidP="0026584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744965">
        <w:rPr>
          <w:rFonts w:ascii="Times New Roman" w:hAnsi="Times New Roman"/>
          <w:bCs/>
          <w:sz w:val="28"/>
          <w:szCs w:val="28"/>
        </w:rPr>
        <w:t>6) естественным границам природных объектов.</w:t>
      </w:r>
    </w:p>
    <w:sectPr w:rsidR="0022403D" w:rsidRPr="00265841" w:rsidSect="002658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4" w:code="9"/>
      <w:pgMar w:top="1134" w:right="567" w:bottom="1134" w:left="1985" w:header="272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35A" w:rsidRDefault="00C9435A" w:rsidP="00265841">
      <w:r>
        <w:separator/>
      </w:r>
    </w:p>
  </w:endnote>
  <w:endnote w:type="continuationSeparator" w:id="0">
    <w:p w:rsidR="00C9435A" w:rsidRDefault="00C9435A" w:rsidP="00265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4C5B5F2-A90A-4299-9ED7-C709D60EA0E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7157A06D-909B-4CBC-8C22-4D45892031F3}"/>
    <w:embedBold r:id="rId3" w:fontKey="{51F52A4E-2B89-476C-BB61-D3128BCF434B}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07492209-C55A-4D48-A6B3-983CD52DFDC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841" w:rsidRDefault="0026584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841" w:rsidRDefault="0026584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841" w:rsidRDefault="0026584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35A" w:rsidRDefault="00C9435A" w:rsidP="00265841">
      <w:r>
        <w:separator/>
      </w:r>
    </w:p>
  </w:footnote>
  <w:footnote w:type="continuationSeparator" w:id="0">
    <w:p w:rsidR="00C9435A" w:rsidRDefault="00C9435A" w:rsidP="00265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841" w:rsidRDefault="0026584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034" w:rsidRPr="00481B88" w:rsidRDefault="00875277" w:rsidP="00E37801">
    <w:pPr>
      <w:pStyle w:val="a3"/>
      <w:framePr w:w="326" w:wrap="around" w:vAnchor="text" w:hAnchor="page" w:x="6486" w:y="321"/>
      <w:rPr>
        <w:rStyle w:val="a5"/>
        <w:rFonts w:ascii="Times New Roman" w:hAnsi="Times New Roman"/>
        <w:sz w:val="28"/>
        <w:szCs w:val="28"/>
      </w:rPr>
    </w:pPr>
  </w:p>
  <w:p w:rsidR="00876034" w:rsidRPr="00481B88" w:rsidRDefault="00BB0A61" w:rsidP="00E37801">
    <w:pPr>
      <w:pStyle w:val="a3"/>
      <w:framePr w:w="326" w:wrap="around" w:vAnchor="text" w:hAnchor="page" w:x="6486" w:y="1"/>
      <w:rPr>
        <w:rStyle w:val="a5"/>
        <w:rFonts w:ascii="Times New Roman" w:hAnsi="Times New Roman"/>
        <w:sz w:val="28"/>
        <w:szCs w:val="28"/>
      </w:rPr>
    </w:pPr>
    <w:r w:rsidRPr="00481B88">
      <w:rPr>
        <w:rStyle w:val="a5"/>
        <w:rFonts w:ascii="Times New Roman" w:hAnsi="Times New Roman"/>
        <w:sz w:val="28"/>
        <w:szCs w:val="28"/>
      </w:rPr>
      <w:fldChar w:fldCharType="begin"/>
    </w:r>
    <w:r w:rsidRPr="00481B88">
      <w:rPr>
        <w:rStyle w:val="a5"/>
        <w:rFonts w:ascii="Times New Roman" w:hAnsi="Times New Roman"/>
        <w:sz w:val="28"/>
        <w:szCs w:val="28"/>
      </w:rPr>
      <w:instrText xml:space="preserve">PAGE  </w:instrText>
    </w:r>
    <w:r w:rsidRPr="00481B88">
      <w:rPr>
        <w:rStyle w:val="a5"/>
        <w:rFonts w:ascii="Times New Roman" w:hAnsi="Times New Roman"/>
        <w:sz w:val="28"/>
        <w:szCs w:val="28"/>
      </w:rPr>
      <w:fldChar w:fldCharType="separate"/>
    </w:r>
    <w:r w:rsidR="00265841">
      <w:rPr>
        <w:rStyle w:val="a5"/>
        <w:rFonts w:ascii="Times New Roman" w:hAnsi="Times New Roman"/>
        <w:noProof/>
        <w:sz w:val="28"/>
        <w:szCs w:val="28"/>
      </w:rPr>
      <w:t>2</w:t>
    </w:r>
    <w:r w:rsidRPr="00481B88">
      <w:rPr>
        <w:rStyle w:val="a5"/>
        <w:rFonts w:ascii="Times New Roman" w:hAnsi="Times New Roman"/>
        <w:sz w:val="28"/>
        <w:szCs w:val="28"/>
      </w:rPr>
      <w:fldChar w:fldCharType="end"/>
    </w:r>
  </w:p>
  <w:p w:rsidR="00876034" w:rsidRPr="00E37801" w:rsidRDefault="00875277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841" w:rsidRDefault="0026584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DA4"/>
    <w:rsid w:val="0022403D"/>
    <w:rsid w:val="00265841"/>
    <w:rsid w:val="00875277"/>
    <w:rsid w:val="009B2260"/>
    <w:rsid w:val="00A93DA4"/>
    <w:rsid w:val="00BB0A61"/>
    <w:rsid w:val="00C9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FDBB90-4D5D-4677-BE54-E34099693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841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6584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65841"/>
    <w:rPr>
      <w:rFonts w:ascii="TimesET" w:eastAsia="Times New Roman" w:hAnsi="TimesET" w:cs="Times New Roman"/>
      <w:sz w:val="20"/>
      <w:szCs w:val="20"/>
      <w:lang w:eastAsia="ru-RU"/>
    </w:rPr>
  </w:style>
  <w:style w:type="character" w:styleId="a5">
    <w:name w:val="page number"/>
    <w:basedOn w:val="a0"/>
    <w:rsid w:val="00265841"/>
  </w:style>
  <w:style w:type="table" w:styleId="a6">
    <w:name w:val="Table Grid"/>
    <w:basedOn w:val="a1"/>
    <w:rsid w:val="002658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26584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ConsPlusNormal">
    <w:name w:val="ConsPlusNormal"/>
    <w:rsid w:val="00265841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No Spacing"/>
    <w:uiPriority w:val="1"/>
    <w:qFormat/>
    <w:rsid w:val="00265841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2658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65841"/>
    <w:rPr>
      <w:rFonts w:ascii="TimesET" w:eastAsia="Times New Roman" w:hAnsi="TimesET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D746962015220FBA593AC420510D99D3124A7BCF3FB592F03222AD0136D5B3AFD6F68ECA59A996212632B99471B095D85EC5ACA014EJDZ9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Г. Торчкова</dc:creator>
  <cp:keywords/>
  <dc:description/>
  <cp:lastModifiedBy>User</cp:lastModifiedBy>
  <cp:revision>5</cp:revision>
  <dcterms:created xsi:type="dcterms:W3CDTF">2021-10-27T07:13:00Z</dcterms:created>
  <dcterms:modified xsi:type="dcterms:W3CDTF">2021-11-18T09:44:00Z</dcterms:modified>
</cp:coreProperties>
</file>