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2D7AB3" w:rsidRPr="00190FF9" w:rsidTr="00076FFC">
        <w:tc>
          <w:tcPr>
            <w:tcW w:w="4503" w:type="dxa"/>
          </w:tcPr>
          <w:p w:rsidR="002D7AB3" w:rsidRPr="00190FF9" w:rsidRDefault="002D7AB3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2D7AB3" w:rsidRDefault="002D7AB3" w:rsidP="002D7AB3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6</w:t>
            </w:r>
          </w:p>
          <w:p w:rsidR="002D7AB3" w:rsidRPr="00F640FD" w:rsidRDefault="002D7AB3" w:rsidP="002D7AB3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2D7AB3" w:rsidRDefault="002D31BF" w:rsidP="002D7AB3">
            <w:pPr>
              <w:widowControl w:val="0"/>
              <w:ind w:left="35" w:hanging="35"/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2D7AB3" w:rsidRDefault="002D7AB3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7AB3" w:rsidRDefault="002D7AB3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7AB3" w:rsidRPr="003229C7" w:rsidRDefault="002D7AB3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D7AB3" w:rsidRDefault="002D7AB3" w:rsidP="002D7AB3">
      <w:pPr>
        <w:pStyle w:val="a7"/>
        <w:ind w:firstLine="709"/>
        <w:jc w:val="center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ОРЯДОК</w:t>
      </w:r>
      <w:r w:rsidRPr="002E2453">
        <w:rPr>
          <w:rFonts w:ascii="Times New Roman" w:hAnsi="Times New Roman"/>
          <w:sz w:val="28"/>
          <w:szCs w:val="28"/>
        </w:rPr>
        <w:t xml:space="preserve"> </w:t>
      </w:r>
    </w:p>
    <w:p w:rsidR="002D7AB3" w:rsidRDefault="002D7AB3" w:rsidP="002D7AB3">
      <w:pPr>
        <w:pStyle w:val="a7"/>
        <w:ind w:firstLine="709"/>
        <w:jc w:val="center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 xml:space="preserve">приобретения собственниками жилых помещений в многоквартирном доме, включенном в границы подлежащей комплексному </w:t>
      </w:r>
    </w:p>
    <w:p w:rsidR="002D7AB3" w:rsidRDefault="002D7AB3" w:rsidP="002D7AB3">
      <w:pPr>
        <w:pStyle w:val="a7"/>
        <w:ind w:firstLine="709"/>
        <w:jc w:val="center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 xml:space="preserve">развитию территории жилой застройки, за доплату </w:t>
      </w:r>
    </w:p>
    <w:p w:rsidR="002D7AB3" w:rsidRPr="002E2453" w:rsidRDefault="002D7AB3" w:rsidP="002D7AB3">
      <w:pPr>
        <w:pStyle w:val="a7"/>
        <w:ind w:firstLine="709"/>
        <w:jc w:val="center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жилых помещений большей площади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1. Порядок приобретения собственниками жилых помещений в многоквартирном доме, включенном в границы подлежащей комплексному развитию территории жилой застройки (далее - собственники), за доплату жилых помещений большей площади разработан в соответствии с Жилищным кодексом Российской Федерации и определяет организационные основы обеспечения реализации прав собственников и порядок приобретения собственниками за доплату жилых помещений большей площади и (или) жилых помещений, имеющих большее количество комнат, чем предоставляемые им жилые помещения, в том числе за счет средств материнского (семейного) капитала, жилищных субсидий и социальных выплат, право на получение которых подтверждается также государственными жилищными сертификатами, и иных не запрещенных законодательством Российской Федерации источников.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2. Собственники вправе взамен освобождаемого жилого помещения приобрести с зачетом стоимости размера возмещения за изымаемое жилое помещение другое жилое помещение большей площади и (или) жилое помещение, имеющее большее количество комнат, чем предоставляемое им жилое помещение.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ar41"/>
      <w:bookmarkEnd w:id="1"/>
      <w:r w:rsidRPr="002E2453">
        <w:rPr>
          <w:rFonts w:ascii="Times New Roman" w:hAnsi="Times New Roman"/>
          <w:sz w:val="28"/>
          <w:szCs w:val="28"/>
        </w:rPr>
        <w:t>3. Уполномоченный орган государственной власти, орган местного самоуправления, юридическое лицо, созданное Рязанской областью, обеспечивающие в соответствии с Градостроительным кодексом Российской Федерации реализацию решения о комплексном развитии территории, либо лицо, заключившее договор о комплексном развитии территории жилой застройки (в случае если это предусмотрено таким договором о комплексном развитии территории), в течение 60 календарных дней после опубликования решения о комплексном развитии территории жилой застройки или заключения договора о комплексном развитии территории жилой застройки (в случае реализации решения о комплексном развитии территории лицом, заключившим договор) направляют собственникам письменное уведомление о включении многоквартирного дома, в котором находится принадлежащее им жилое помещение, в границы подлежащей комплексному развитию территории жилой застройки (далее - уведомление).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lastRenderedPageBreak/>
        <w:t xml:space="preserve">На дату направления уведомления уполномоченный орган государственной власти, орган местного самоуправления, юридическое лицо, созданное Рязанской областью, обеспечивающие в соответствии с Градостроительным кодексом Российской Федерации реализацию решения о комплексном развитии территории, либо лицо, заключившее договор о комплексном развитии территории жилой застройки (в случае если это предусмотрено таким договором о комплексном развитии территории), обеспечивают </w:t>
      </w:r>
      <w:r w:rsidR="0024747C">
        <w:rPr>
          <w:rFonts w:ascii="Times New Roman" w:hAnsi="Times New Roman"/>
          <w:sz w:val="28"/>
          <w:szCs w:val="28"/>
        </w:rPr>
        <w:t>подготовку</w:t>
      </w:r>
      <w:r w:rsidRPr="002E2453">
        <w:rPr>
          <w:rFonts w:ascii="Times New Roman" w:hAnsi="Times New Roman"/>
          <w:sz w:val="28"/>
          <w:szCs w:val="28"/>
        </w:rPr>
        <w:t xml:space="preserve"> отчетов об оценке</w:t>
      </w:r>
      <w:r w:rsidR="0024747C">
        <w:rPr>
          <w:rFonts w:ascii="Times New Roman" w:hAnsi="Times New Roman"/>
          <w:sz w:val="28"/>
          <w:szCs w:val="28"/>
        </w:rPr>
        <w:t>, выполненных</w:t>
      </w:r>
      <w:r w:rsidRPr="002E2453"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закона от 29 июля 1998 года </w:t>
      </w:r>
      <w:r>
        <w:rPr>
          <w:rFonts w:ascii="Times New Roman" w:hAnsi="Times New Roman"/>
          <w:sz w:val="28"/>
          <w:szCs w:val="28"/>
        </w:rPr>
        <w:t>№</w:t>
      </w:r>
      <w:r w:rsidRPr="002E2453">
        <w:rPr>
          <w:rFonts w:ascii="Times New Roman" w:hAnsi="Times New Roman"/>
          <w:sz w:val="28"/>
          <w:szCs w:val="28"/>
        </w:rPr>
        <w:t xml:space="preserve"> 135-ФЗ </w:t>
      </w:r>
      <w:r>
        <w:rPr>
          <w:rFonts w:ascii="Times New Roman" w:hAnsi="Times New Roman"/>
          <w:sz w:val="28"/>
          <w:szCs w:val="28"/>
        </w:rPr>
        <w:t>«</w:t>
      </w:r>
      <w:r w:rsidR="0024747C">
        <w:rPr>
          <w:rFonts w:ascii="Times New Roman" w:hAnsi="Times New Roman"/>
          <w:sz w:val="28"/>
          <w:szCs w:val="28"/>
        </w:rPr>
        <w:t>Об </w:t>
      </w:r>
      <w:r w:rsidRPr="002E2453">
        <w:rPr>
          <w:rFonts w:ascii="Times New Roman" w:hAnsi="Times New Roman"/>
          <w:sz w:val="28"/>
          <w:szCs w:val="28"/>
        </w:rPr>
        <w:t>оценочной деятельности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2E2453">
        <w:rPr>
          <w:rFonts w:ascii="Times New Roman" w:hAnsi="Times New Roman"/>
          <w:sz w:val="28"/>
          <w:szCs w:val="28"/>
        </w:rPr>
        <w:t xml:space="preserve"> в отношении жилых помещений в многоквартирных домах, включенных в проект решения о комплексном развитии территории жилой застройки.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Взаимодействие лиц, указанных в абзаце первом данного пункта, с собственниками осуществляется посредством направления собственнику уведомлений почтовым отправлением с уведомлением о вручении.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4. Уведомление в обязательном порядке должно содержать: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реквизиты решения о комплексном развитии территории жилой застройки;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размер возмещения за изымаемое жилое помещение по результатам оценки с указанием реквизитов отчета об оценке;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сведения о предоставляемом жилом помещении (количество комнат, общая и жилая площадь, местонахождение);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 xml:space="preserve">- указание на право собственника представить лицу, указанному в абзаце первом пункта 3 настоящего Порядка, в письменной форме заявление о приобретении с зачетом </w:t>
      </w:r>
      <w:proofErr w:type="gramStart"/>
      <w:r w:rsidRPr="002E2453">
        <w:rPr>
          <w:rFonts w:ascii="Times New Roman" w:hAnsi="Times New Roman"/>
          <w:sz w:val="28"/>
          <w:szCs w:val="28"/>
        </w:rPr>
        <w:t xml:space="preserve">стоимости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453">
        <w:rPr>
          <w:rFonts w:ascii="Times New Roman" w:hAnsi="Times New Roman"/>
          <w:sz w:val="28"/>
          <w:szCs w:val="28"/>
        </w:rPr>
        <w:t>размера</w:t>
      </w:r>
      <w:proofErr w:type="gramEnd"/>
      <w:r w:rsidRPr="002E2453">
        <w:rPr>
          <w:rFonts w:ascii="Times New Roman" w:hAnsi="Times New Roman"/>
          <w:sz w:val="28"/>
          <w:szCs w:val="28"/>
        </w:rPr>
        <w:t xml:space="preserve"> возмещения за изымаемое жилое помещение другого жилого помещения большей площади и (или) жилого помещения, имеющего большее количество комнат, чем предоставляемое жилое помещение (далее - заявление), при наличии соответствующих жилых помещений;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контактные данные лица, указанного в абзаце первом пункта 3 настоящего Порядка (адрес и номера телефонов, по которым можно связаться с представителями).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5. В случае согласия собственника приобрести другое жилое помещение большей площади и (или) жилое помещение, имеющее большее количество комнат, чем предоставляемое жилое помещение, взамен освобождаемого жилого помещения с зачетом стоимости размера возмещения за изымаемое жилое помещение собственник не позднее 30 календарных дней с момента получения уведомления должен направить заявление лицу, указанному в абзаце первом пункта 3 настоящего Порядка, почтовым отправлением или представить нарочным. Заявление должно содержать указание на то, каким именно должно быть жилое помещение, предоставляемое взамен изымаемого жилого помещения (быть большим по площади и (или) иметь большее количество комнат), а также контактный номер телефона собственника.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 xml:space="preserve">В случае отказа собственника от приобретения другого жилого помещения большей площади и (или) жилого помещения, имеющего большее </w:t>
      </w:r>
      <w:r w:rsidRPr="002E2453">
        <w:rPr>
          <w:rFonts w:ascii="Times New Roman" w:hAnsi="Times New Roman"/>
          <w:sz w:val="28"/>
          <w:szCs w:val="28"/>
        </w:rPr>
        <w:lastRenderedPageBreak/>
        <w:t>количество комнат, чем предоставляемое жилое помещение, взамен освобождаемого жилого помещения с зачетом стоимости размера возмещения за изымаемое жилое помещение вышеуказанное заявление не направляется.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2453">
        <w:rPr>
          <w:rFonts w:ascii="Times New Roman" w:hAnsi="Times New Roman"/>
          <w:sz w:val="28"/>
          <w:szCs w:val="28"/>
        </w:rPr>
        <w:t>Непредоставление</w:t>
      </w:r>
      <w:proofErr w:type="spellEnd"/>
      <w:r w:rsidRPr="002E2453">
        <w:rPr>
          <w:rFonts w:ascii="Times New Roman" w:hAnsi="Times New Roman"/>
          <w:sz w:val="28"/>
          <w:szCs w:val="28"/>
        </w:rPr>
        <w:t xml:space="preserve"> лицу, указанному в абзаце первом пункта 3 настоящего Порядка, вышеуказанного заявления в 30-дневный срок с момента получения уведомления расценивается как отказ от приобретения другого жилого помещения большей площади и (или) жилого помещения, имеющего большее количество комнат, чем предоставляемое жилое помещение, взамен освобождаемого жилого помещения с зачетом стоимости размера возмещения за изымаемое жилое помещение.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Лицо, указанное в абзаце первом пункта 3 настоящего Порядка, в течение 60 календарных дней после поступления заявления для доведения информации о возможных вариантах предоставления жилого помещения взамен изымаемого жилого помещения направляет письменное уведомление с указанием вариантов жилых помещений и размера доплаты и информированием о необходимости предоставления ответа в письменной форме в течение 30 календарных дней со дня получения письменного уведомления.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2453">
        <w:rPr>
          <w:rFonts w:ascii="Times New Roman" w:hAnsi="Times New Roman"/>
          <w:sz w:val="28"/>
          <w:szCs w:val="28"/>
        </w:rPr>
        <w:t>Непредоставление</w:t>
      </w:r>
      <w:proofErr w:type="spellEnd"/>
      <w:r w:rsidRPr="002E2453">
        <w:rPr>
          <w:rFonts w:ascii="Times New Roman" w:hAnsi="Times New Roman"/>
          <w:sz w:val="28"/>
          <w:szCs w:val="28"/>
        </w:rPr>
        <w:t xml:space="preserve"> лицу, указанному в абзаце первом пункта 3 настоящего Порядка, вышеуказанного ответа в письменной форме в 30-дневный срок с момента получения письменного уведомления расценивается как отказ от приобретения другого жилого помещения большей площади и (или) жилого помещения, имеющего большее количество комнат, чем предоставляемое жилое помещение, взамен освобождаемого жилого помещения с зачетом стоимости размера возмещения за изымаемое жилое помещение.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6. В случае согласия собственника с вариантом предоставляемого жилого помещения лицо, указанное в абзаце первом пункта 3 настоящего Порядка, обеспечивает подготовку проекта договора мены.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Приобретение в соответствии с настоящим Порядком собственником (собственниками) жилого помещения большей площади и (или) жилого помещения, имеющего большее количество комнат, чем предоставляемое жилое помещение, осуществляется по договору мены с доплатой, заключаемому собственником с лицом, указанным в абзаце первом пункта 3 настоящего Порядка, в соответствии с действующим законодательством.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 xml:space="preserve">В случае если жилое помещение в многоквартирном доме, включенном в границы подлежащей комплексному развитию территории жилой застройки, находится в общей собственности, договор мены заключается со всеми собственниками жилого помещения и предусматривает возникновение права общей собственности на предоставляемое жилое помещение в долях, соответствующих долям в праве собственности на жилое помещение в многоквартирном доме, включенном в границы подлежащей комплексному развитию территории жилой застройки (в случае если такое жилое помещение находилось в общей долевой собственности), или возникновение права общей совместной собственности на жилое помещение (в случае если жилое </w:t>
      </w:r>
      <w:r w:rsidRPr="002E2453">
        <w:rPr>
          <w:rFonts w:ascii="Times New Roman" w:hAnsi="Times New Roman"/>
          <w:sz w:val="28"/>
          <w:szCs w:val="28"/>
        </w:rPr>
        <w:lastRenderedPageBreak/>
        <w:t>помещение в многоквартирном доме, включенном в границы подлежащей комплексному развитию территории жилой застройки, находилось в общей совместной собственности).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7. Размер доплаты по договору мены устанавливается как разница между стоимостью приобретаемого с доплатой жилого помещения и размером возмещения за изымаемое у собственника жилое помещение.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Стоимость приобретаемого с доплатой жилого помещения: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принимается равной цене соответствующего государственного или муниципального контракта, в случае если реализация решения о комплексном развитии территории обеспечивается в соответствии с Градостроительным кодексом Российской Федерации уполномоченным органом государственной власти, органом местного самоуправления;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- устанавливается собственником и лицом, указанным в абзаце первом пункта 3 настоящего Порядка, самостоятельно, в случае если реализация решения о комплексном развитии территории обеспечивается юридическим лицом, созданным Рязанской областью, или лицом, заключившим договор о комплексном развитии территории.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Доплата по договору мены производится собственником за счет собственных и/или заемных средств, в том числе за счет средств материнского (семейного) капитала, жилищных субсидий и социальных выплат, право на получение которых подтверждается также государственными жилищными сертификатами, и иных не запрещенных законодательством Российской Федерации источников, в установленном порядке.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E2453">
        <w:rPr>
          <w:rFonts w:ascii="Times New Roman" w:hAnsi="Times New Roman"/>
          <w:sz w:val="28"/>
          <w:szCs w:val="28"/>
        </w:rPr>
        <w:t>8. Порядок и сроки расчетов, передачи приобретаемого жилого помещения собственнику, обязательства сторон устанавливаются договором мены в соответствии с действующим законодательством.</w:t>
      </w: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AB3" w:rsidRPr="002E2453" w:rsidRDefault="002D7AB3" w:rsidP="002D7AB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403D" w:rsidRDefault="0022403D"/>
    <w:sectPr w:rsidR="0022403D" w:rsidSect="002D7AB3">
      <w:headerReference w:type="default" r:id="rId6"/>
      <w:pgSz w:w="11907" w:h="16834" w:code="9"/>
      <w:pgMar w:top="1134" w:right="567" w:bottom="1134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34F" w:rsidRDefault="00D9034F">
      <w:r>
        <w:separator/>
      </w:r>
    </w:p>
  </w:endnote>
  <w:endnote w:type="continuationSeparator" w:id="0">
    <w:p w:rsidR="00D9034F" w:rsidRDefault="00D90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4C63BC-91B7-43AC-AF6B-31E5CEE75CF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117B7BC-3F87-49A7-AAF8-7748A0E0E873}"/>
  </w:font>
  <w:font w:name="TimesE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2E6CC13-CC19-4842-AE84-4E06CE0D68E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E908227-9D2C-4140-9884-8678CE048B9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34F" w:rsidRDefault="00D9034F">
      <w:r>
        <w:separator/>
      </w:r>
    </w:p>
  </w:footnote>
  <w:footnote w:type="continuationSeparator" w:id="0">
    <w:p w:rsidR="00D9034F" w:rsidRDefault="00D90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2D31BF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2D7AB3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2D31BF">
      <w:rPr>
        <w:rStyle w:val="a5"/>
        <w:rFonts w:ascii="Times New Roman" w:hAnsi="Times New Roman"/>
        <w:noProof/>
        <w:sz w:val="28"/>
        <w:szCs w:val="28"/>
      </w:rPr>
      <w:t>4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2D31BF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654"/>
    <w:rsid w:val="0022403D"/>
    <w:rsid w:val="0024747C"/>
    <w:rsid w:val="002D31BF"/>
    <w:rsid w:val="002D7AB3"/>
    <w:rsid w:val="009370D3"/>
    <w:rsid w:val="00D9034F"/>
    <w:rsid w:val="00FC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A7063-858E-4024-87A1-5CAE597D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AB3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D7A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D7AB3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2D7AB3"/>
  </w:style>
  <w:style w:type="table" w:styleId="a6">
    <w:name w:val="Table Grid"/>
    <w:basedOn w:val="a1"/>
    <w:rsid w:val="002D7A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2D7AB3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4747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747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5</cp:revision>
  <cp:lastPrinted>2021-11-09T08:47:00Z</cp:lastPrinted>
  <dcterms:created xsi:type="dcterms:W3CDTF">2021-10-27T07:33:00Z</dcterms:created>
  <dcterms:modified xsi:type="dcterms:W3CDTF">2021-11-18T09:49:00Z</dcterms:modified>
</cp:coreProperties>
</file>