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03"/>
        <w:gridCol w:w="4677"/>
      </w:tblGrid>
      <w:tr w:rsidR="000125DF" w:rsidRPr="00190FF9" w:rsidTr="00076FFC">
        <w:tc>
          <w:tcPr>
            <w:tcW w:w="4503" w:type="dxa"/>
          </w:tcPr>
          <w:p w:rsidR="000125DF" w:rsidRPr="00190FF9" w:rsidRDefault="000125DF" w:rsidP="00076FF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0125DF" w:rsidRDefault="000125DF" w:rsidP="000125DF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190FF9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>№ 9</w:t>
            </w:r>
          </w:p>
          <w:p w:rsidR="000125DF" w:rsidRPr="00F640FD" w:rsidRDefault="000125DF" w:rsidP="000125DF">
            <w:pPr>
              <w:widowControl w:val="0"/>
              <w:rPr>
                <w:sz w:val="28"/>
              </w:rPr>
            </w:pPr>
            <w:r w:rsidRPr="00F640FD">
              <w:rPr>
                <w:sz w:val="28"/>
              </w:rPr>
              <w:t xml:space="preserve">к постановлению Главархитектуры Рязанской области </w:t>
            </w:r>
          </w:p>
          <w:p w:rsidR="000125DF" w:rsidRDefault="00AD042F" w:rsidP="000125DF">
            <w:pPr>
              <w:widowControl w:val="0"/>
              <w:ind w:left="35" w:hanging="35"/>
            </w:pPr>
            <w:r>
              <w:rPr>
                <w:sz w:val="28"/>
              </w:rPr>
              <w:t>от 18 ноября 2021 г. № 525-п</w:t>
            </w:r>
            <w:bookmarkStart w:id="0" w:name="_GoBack"/>
            <w:bookmarkEnd w:id="0"/>
          </w:p>
          <w:p w:rsidR="000125DF" w:rsidRDefault="000125DF" w:rsidP="00076F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125DF" w:rsidRDefault="000125DF" w:rsidP="00076F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125DF" w:rsidRPr="003229C7" w:rsidRDefault="000125DF" w:rsidP="00076FFC">
            <w:pPr>
              <w:widowControl w:val="0"/>
              <w:rPr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0125DF" w:rsidRDefault="000125DF" w:rsidP="000125DF">
      <w:pPr>
        <w:widowControl w:val="0"/>
        <w:jc w:val="both"/>
        <w:rPr>
          <w:sz w:val="28"/>
        </w:rPr>
      </w:pPr>
    </w:p>
    <w:p w:rsidR="000125DF" w:rsidRDefault="000125DF" w:rsidP="000125DF">
      <w:pPr>
        <w:pStyle w:val="3"/>
        <w:ind w:left="34"/>
        <w:jc w:val="center"/>
        <w:rPr>
          <w:sz w:val="28"/>
          <w:szCs w:val="28"/>
        </w:rPr>
      </w:pPr>
      <w:bookmarkStart w:id="1" w:name="Par30"/>
      <w:bookmarkEnd w:id="1"/>
      <w:r w:rsidRPr="00B45D21">
        <w:rPr>
          <w:sz w:val="28"/>
          <w:szCs w:val="28"/>
        </w:rPr>
        <w:t>К</w:t>
      </w:r>
      <w:r>
        <w:rPr>
          <w:sz w:val="28"/>
          <w:szCs w:val="28"/>
        </w:rPr>
        <w:t>РИТЕРИИ</w:t>
      </w:r>
      <w:r w:rsidRPr="00B45D21">
        <w:rPr>
          <w:sz w:val="28"/>
          <w:szCs w:val="28"/>
        </w:rPr>
        <w:t xml:space="preserve"> </w:t>
      </w:r>
    </w:p>
    <w:p w:rsidR="000125DF" w:rsidRPr="00B45D21" w:rsidRDefault="000125DF" w:rsidP="000125DF">
      <w:pPr>
        <w:pStyle w:val="3"/>
        <w:ind w:left="34"/>
        <w:jc w:val="center"/>
      </w:pPr>
      <w:r w:rsidRPr="00B45D21">
        <w:rPr>
          <w:sz w:val="28"/>
          <w:szCs w:val="28"/>
        </w:rPr>
        <w:t xml:space="preserve">многоквартирных домов, которые не признаны аварийными </w:t>
      </w:r>
      <w:r>
        <w:rPr>
          <w:sz w:val="28"/>
          <w:szCs w:val="28"/>
        </w:rPr>
        <w:t>и</w:t>
      </w:r>
    </w:p>
    <w:p w:rsidR="000125DF" w:rsidRDefault="000125DF" w:rsidP="000125DF">
      <w:pPr>
        <w:pStyle w:val="3"/>
        <w:ind w:left="34"/>
        <w:jc w:val="center"/>
        <w:rPr>
          <w:sz w:val="28"/>
          <w:szCs w:val="28"/>
        </w:rPr>
      </w:pPr>
      <w:r w:rsidRPr="00B45D21">
        <w:rPr>
          <w:sz w:val="28"/>
          <w:szCs w:val="28"/>
        </w:rPr>
        <w:t xml:space="preserve">подлежащими сносу или реконструкции, расположенных на застроенной территории, в отношении которой осуществляется комплексное </w:t>
      </w:r>
    </w:p>
    <w:p w:rsidR="000125DF" w:rsidRPr="00B45D21" w:rsidRDefault="000125DF" w:rsidP="000125DF">
      <w:pPr>
        <w:pStyle w:val="3"/>
        <w:ind w:left="34"/>
        <w:jc w:val="center"/>
      </w:pPr>
      <w:r w:rsidRPr="00B45D21">
        <w:rPr>
          <w:sz w:val="28"/>
          <w:szCs w:val="28"/>
        </w:rPr>
        <w:t>развитие территории жилой застройки</w:t>
      </w:r>
    </w:p>
    <w:p w:rsidR="000125DF" w:rsidRDefault="000125DF" w:rsidP="000125DF">
      <w:pPr>
        <w:pStyle w:val="3"/>
        <w:ind w:left="34" w:firstLine="675"/>
        <w:jc w:val="center"/>
        <w:rPr>
          <w:b/>
          <w:sz w:val="28"/>
          <w:szCs w:val="28"/>
        </w:rPr>
      </w:pPr>
    </w:p>
    <w:p w:rsidR="000125DF" w:rsidRDefault="000125DF" w:rsidP="000125DF">
      <w:pPr>
        <w:pStyle w:val="3"/>
        <w:ind w:left="34" w:firstLine="675"/>
        <w:jc w:val="both"/>
      </w:pPr>
      <w:r>
        <w:rPr>
          <w:sz w:val="28"/>
          <w:szCs w:val="28"/>
        </w:rPr>
        <w:t>Настоящие критерии многоквартирных домов, которые не признаны аварийными и подлежащими сносу или реконструкции, расположенных на застроенной территории, в отношении которой осуществляется комплексное развитие территории жилой застройки разработаны в соответствии с частью 2 статьи 65 Градостроительного кодекса Российской Федерации.</w:t>
      </w:r>
    </w:p>
    <w:p w:rsidR="000125DF" w:rsidRDefault="000125DF" w:rsidP="000125DF">
      <w:pPr>
        <w:pStyle w:val="ConsPlusNormal"/>
        <w:ind w:firstLine="709"/>
        <w:jc w:val="both"/>
      </w:pPr>
      <w:r>
        <w:rPr>
          <w:sz w:val="28"/>
          <w:szCs w:val="28"/>
        </w:rPr>
        <w:t>Многоквартирные дома, не признанные аварийными и подлежащими сносу или реконструкции, расположенные в границах застроенной территории, в отношении которой осуществляется комплексное развитие территории жилой застройки, должны соответствовать одному или нескольким следующим требованиям:</w:t>
      </w:r>
    </w:p>
    <w:p w:rsidR="000125DF" w:rsidRDefault="000125DF" w:rsidP="000125DF">
      <w:pPr>
        <w:pStyle w:val="ConsPlusNormal"/>
        <w:ind w:firstLine="709"/>
        <w:jc w:val="both"/>
      </w:pPr>
      <w:r>
        <w:rPr>
          <w:sz w:val="28"/>
          <w:szCs w:val="28"/>
        </w:rPr>
        <w:t>1) для многоквартирных домов более 4 этажей физический износ основных конструктивных элементов (крыша, стены, фундамент) превышает 70 процентов;</w:t>
      </w:r>
    </w:p>
    <w:p w:rsidR="000125DF" w:rsidRDefault="000125DF" w:rsidP="000125DF">
      <w:pPr>
        <w:pStyle w:val="ConsPlusNormal"/>
        <w:ind w:firstLine="709"/>
        <w:jc w:val="both"/>
      </w:pPr>
      <w:r>
        <w:rPr>
          <w:sz w:val="28"/>
          <w:szCs w:val="28"/>
        </w:rPr>
        <w:t>2) для многоквартирных домов до 4 этажей включительно физический износ основных конструктивных элементов (крыша, стены, фундамент), превышает 60 процентов;</w:t>
      </w:r>
    </w:p>
    <w:p w:rsidR="000125DF" w:rsidRDefault="000125DF" w:rsidP="000125DF">
      <w:pPr>
        <w:pStyle w:val="ConsPlusNormal"/>
        <w:ind w:firstLine="709"/>
        <w:jc w:val="both"/>
      </w:pPr>
      <w:r>
        <w:rPr>
          <w:sz w:val="28"/>
          <w:szCs w:val="28"/>
        </w:rPr>
        <w:t xml:space="preserve">3) совокупная стоимость услуг и (или) работ по капитальному ремонту конструктивных элементов многоквартирных домов и внутридомовых систем инженерно-технического обеспечения, входящих в состав общего имущества в многоквартирных домах, в расчете на один квадратный метр общей площади жилых помещений превышает 60 процентов средней рыночной стоимости одного квадратного метра общей площади жилого помещения для соответствующего муниципального образования </w:t>
      </w:r>
      <w:r w:rsidRPr="00B45D21">
        <w:rPr>
          <w:sz w:val="28"/>
          <w:szCs w:val="28"/>
        </w:rPr>
        <w:t xml:space="preserve">Рязанской области, утвержденной правовым актом органа исполнительной власти Рязанской </w:t>
      </w:r>
      <w:r>
        <w:rPr>
          <w:sz w:val="28"/>
          <w:szCs w:val="28"/>
        </w:rPr>
        <w:t>области, уполномоченного на государственное регулирование цен (тарифов), на дату принятия решения о комплексном развитии территории жилой застройки;</w:t>
      </w:r>
    </w:p>
    <w:p w:rsidR="000125DF" w:rsidRDefault="000125DF" w:rsidP="000125DF">
      <w:pPr>
        <w:pStyle w:val="ConsPlusNormal"/>
        <w:ind w:firstLine="709"/>
        <w:jc w:val="both"/>
      </w:pPr>
      <w:r>
        <w:rPr>
          <w:sz w:val="28"/>
          <w:szCs w:val="28"/>
        </w:rPr>
        <w:t>4) многоквартирные дома этажностью до 5 этажей включительно построены в период до 1970 года по типовым проектам, разработанным с использованием типовых изделий стен и (или) перекрытий;</w:t>
      </w:r>
    </w:p>
    <w:p w:rsidR="000125DF" w:rsidRDefault="000125DF" w:rsidP="000125DF">
      <w:pPr>
        <w:pStyle w:val="ConsPlusNormal"/>
        <w:ind w:firstLine="709"/>
        <w:jc w:val="both"/>
      </w:pPr>
      <w:r>
        <w:rPr>
          <w:sz w:val="28"/>
          <w:szCs w:val="28"/>
        </w:rPr>
        <w:t xml:space="preserve">5) многоквартирные дома признаны находящимися в ограниченно </w:t>
      </w:r>
      <w:r>
        <w:rPr>
          <w:sz w:val="28"/>
          <w:szCs w:val="28"/>
        </w:rPr>
        <w:lastRenderedPageBreak/>
        <w:t xml:space="preserve">работоспособном техническом состоянии в порядке, установленном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</w:t>
      </w:r>
      <w:proofErr w:type="gramStart"/>
      <w:r>
        <w:rPr>
          <w:sz w:val="28"/>
          <w:szCs w:val="28"/>
        </w:rPr>
        <w:t>архитектуры,  градостроительства</w:t>
      </w:r>
      <w:proofErr w:type="gramEnd"/>
      <w:r>
        <w:rPr>
          <w:sz w:val="28"/>
          <w:szCs w:val="28"/>
        </w:rPr>
        <w:t>;</w:t>
      </w:r>
    </w:p>
    <w:p w:rsidR="000125DF" w:rsidRDefault="000125DF" w:rsidP="000125DF">
      <w:pPr>
        <w:pStyle w:val="ConsPlusNormal"/>
        <w:ind w:firstLine="709"/>
        <w:jc w:val="both"/>
      </w:pPr>
      <w:r>
        <w:rPr>
          <w:sz w:val="28"/>
          <w:szCs w:val="28"/>
        </w:rPr>
        <w:t>6) в многоквартирных домах отсутствуют одна или несколько                          из следующих централизованных систем инженерно-технического обеспечения:</w:t>
      </w:r>
    </w:p>
    <w:p w:rsidR="000125DF" w:rsidRDefault="000125DF" w:rsidP="000125DF">
      <w:pPr>
        <w:pStyle w:val="ConsPlusNormal"/>
        <w:tabs>
          <w:tab w:val="left" w:pos="1185"/>
        </w:tabs>
        <w:ind w:firstLine="907"/>
        <w:jc w:val="both"/>
      </w:pPr>
      <w:r>
        <w:rPr>
          <w:sz w:val="28"/>
          <w:szCs w:val="28"/>
        </w:rPr>
        <w:t>- система теплоснабжения, за исключением местной системы теплоснабжения многоквартирного дома от отдельного газового источника теплоты или индивидуальной системы теплоснабжения от отдельного газового источника теплоты;</w:t>
      </w:r>
    </w:p>
    <w:p w:rsidR="000125DF" w:rsidRDefault="000125DF" w:rsidP="000125DF">
      <w:pPr>
        <w:pStyle w:val="ConsPlusNormal"/>
        <w:tabs>
          <w:tab w:val="left" w:pos="1185"/>
        </w:tabs>
        <w:ind w:firstLine="907"/>
        <w:jc w:val="both"/>
      </w:pPr>
      <w:r>
        <w:rPr>
          <w:sz w:val="28"/>
          <w:szCs w:val="28"/>
        </w:rPr>
        <w:t>- система холодного водоснабжения;</w:t>
      </w:r>
    </w:p>
    <w:p w:rsidR="000125DF" w:rsidRDefault="000125DF" w:rsidP="000125DF">
      <w:pPr>
        <w:pStyle w:val="ConsPlusNormal"/>
        <w:tabs>
          <w:tab w:val="left" w:pos="1185"/>
        </w:tabs>
        <w:ind w:firstLine="907"/>
        <w:jc w:val="both"/>
      </w:pPr>
      <w:r>
        <w:rPr>
          <w:sz w:val="28"/>
          <w:szCs w:val="28"/>
        </w:rPr>
        <w:t>- система водоотведения.</w:t>
      </w:r>
    </w:p>
    <w:p w:rsidR="000125DF" w:rsidRDefault="000125DF" w:rsidP="000125DF">
      <w:pPr>
        <w:pStyle w:val="ConsPlusNormal"/>
        <w:ind w:firstLine="709"/>
        <w:jc w:val="both"/>
        <w:rPr>
          <w:sz w:val="28"/>
          <w:szCs w:val="28"/>
        </w:rPr>
      </w:pPr>
    </w:p>
    <w:p w:rsidR="0022403D" w:rsidRDefault="0022403D"/>
    <w:sectPr w:rsidR="0022403D" w:rsidSect="00730D40">
      <w:headerReference w:type="default" r:id="rId6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694" w:rsidRDefault="00757694" w:rsidP="000125DF">
      <w:r>
        <w:separator/>
      </w:r>
    </w:p>
  </w:endnote>
  <w:endnote w:type="continuationSeparator" w:id="0">
    <w:p w:rsidR="00757694" w:rsidRDefault="00757694" w:rsidP="00012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C286B2-5ACD-411E-8A01-538CB27032F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AA38E623-F194-4BB9-8795-095E81736B83}"/>
    <w:embedBold r:id="rId3" w:fontKey="{6039D27F-650A-4B3D-92E9-0056E1736180}"/>
  </w:font>
  <w:font w:name="TimesET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C53A74A8-4663-480B-BD1A-1954B86279E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F3615E65-1D63-497C-B9E1-1C462E4BA4C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694" w:rsidRDefault="00757694" w:rsidP="000125DF">
      <w:r>
        <w:separator/>
      </w:r>
    </w:p>
  </w:footnote>
  <w:footnote w:type="continuationSeparator" w:id="0">
    <w:p w:rsidR="00757694" w:rsidRDefault="00757694" w:rsidP="000125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D40" w:rsidRPr="00730D40" w:rsidRDefault="00730D40">
    <w:pPr>
      <w:pStyle w:val="a4"/>
      <w:jc w:val="center"/>
      <w:rPr>
        <w:rFonts w:ascii="Times New Roman" w:hAnsi="Times New Roman"/>
        <w:sz w:val="24"/>
        <w:szCs w:val="24"/>
      </w:rPr>
    </w:pPr>
    <w:r w:rsidRPr="00730D40">
      <w:rPr>
        <w:rFonts w:ascii="Times New Roman" w:hAnsi="Times New Roman"/>
        <w:sz w:val="24"/>
        <w:szCs w:val="24"/>
      </w:rPr>
      <w:t>2</w:t>
    </w:r>
  </w:p>
  <w:p w:rsidR="000125DF" w:rsidRDefault="000125D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3E5"/>
    <w:rsid w:val="000125DF"/>
    <w:rsid w:val="0022403D"/>
    <w:rsid w:val="00730D40"/>
    <w:rsid w:val="00757694"/>
    <w:rsid w:val="008E4BEC"/>
    <w:rsid w:val="00AD042F"/>
    <w:rsid w:val="00C61D48"/>
    <w:rsid w:val="00D93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C2EE7C69-3C49-41CC-B2A1-2060E4CCB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5DF"/>
    <w:pPr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125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Обычный3"/>
    <w:rsid w:val="000125D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ConsPlusNormal">
    <w:name w:val="ConsPlusNormal"/>
    <w:rsid w:val="000125DF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header"/>
    <w:basedOn w:val="a"/>
    <w:link w:val="a5"/>
    <w:uiPriority w:val="99"/>
    <w:unhideWhenUsed/>
    <w:rsid w:val="000125D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125DF"/>
    <w:rPr>
      <w:rFonts w:ascii="TimesET" w:eastAsia="Times New Roman" w:hAnsi="TimesET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0125D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125DF"/>
    <w:rPr>
      <w:rFonts w:ascii="TimesET" w:eastAsia="Times New Roman" w:hAnsi="TimesET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30D40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30D4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Г. Торчкова</dc:creator>
  <cp:keywords/>
  <dc:description/>
  <cp:lastModifiedBy>User</cp:lastModifiedBy>
  <cp:revision>5</cp:revision>
  <cp:lastPrinted>2021-11-01T07:52:00Z</cp:lastPrinted>
  <dcterms:created xsi:type="dcterms:W3CDTF">2021-10-27T08:22:00Z</dcterms:created>
  <dcterms:modified xsi:type="dcterms:W3CDTF">2021-11-18T09:50:00Z</dcterms:modified>
</cp:coreProperties>
</file>