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D3" w:rsidRDefault="00BE593E">
      <w:pPr>
        <w:ind w:left="5103"/>
        <w:rPr>
          <w:rFonts w:eastAsia="Times New Roman" w:cs="Times New Roman"/>
          <w:kern w:val="0"/>
          <w:szCs w:val="20"/>
          <w:lang w:bidi="ar-SA"/>
        </w:rPr>
      </w:pPr>
      <w:r>
        <w:rPr>
          <w:rFonts w:eastAsia="Times New Roman" w:cs="Times New Roman"/>
          <w:kern w:val="0"/>
          <w:szCs w:val="20"/>
          <w:lang w:bidi="ar-SA"/>
        </w:rPr>
        <w:t xml:space="preserve">Утвержден </w:t>
      </w:r>
    </w:p>
    <w:p w:rsidR="007C5D6D" w:rsidRPr="000F09D3" w:rsidRDefault="00383F00" w:rsidP="000F09D3">
      <w:pPr>
        <w:ind w:left="5103"/>
        <w:rPr>
          <w:rFonts w:eastAsia="Times New Roman" w:cs="Times New Roman"/>
          <w:kern w:val="0"/>
          <w:szCs w:val="20"/>
          <w:lang w:bidi="ar-SA"/>
        </w:rPr>
      </w:pPr>
      <w:r>
        <w:rPr>
          <w:rFonts w:eastAsia="Times New Roman" w:cs="Times New Roman"/>
          <w:kern w:val="0"/>
          <w:szCs w:val="20"/>
          <w:lang w:bidi="ar-SA"/>
        </w:rPr>
        <w:t>п</w:t>
      </w:r>
      <w:bookmarkStart w:id="0" w:name="_GoBack"/>
      <w:bookmarkEnd w:id="0"/>
      <w:r w:rsidR="00BE593E">
        <w:rPr>
          <w:rFonts w:eastAsia="Times New Roman" w:cs="Times New Roman"/>
          <w:kern w:val="0"/>
          <w:szCs w:val="20"/>
          <w:lang w:bidi="ar-SA"/>
        </w:rPr>
        <w:t>остановлением</w:t>
      </w:r>
      <w:r w:rsidR="000F09D3">
        <w:rPr>
          <w:rFonts w:eastAsia="Times New Roman" w:cs="Times New Roman"/>
          <w:kern w:val="0"/>
          <w:szCs w:val="20"/>
          <w:lang w:bidi="ar-SA"/>
        </w:rPr>
        <w:t xml:space="preserve"> </w:t>
      </w:r>
      <w:r w:rsidR="00BE593E">
        <w:rPr>
          <w:rFonts w:eastAsia="Times New Roman" w:cs="Times New Roman"/>
          <w:kern w:val="0"/>
          <w:szCs w:val="20"/>
          <w:lang w:bidi="ar-SA"/>
        </w:rPr>
        <w:t>главного управления архитектуры</w:t>
      </w:r>
      <w:r w:rsidR="000F09D3">
        <w:rPr>
          <w:rFonts w:eastAsia="Times New Roman" w:cs="Times New Roman"/>
          <w:kern w:val="0"/>
          <w:szCs w:val="20"/>
          <w:lang w:bidi="ar-SA"/>
        </w:rPr>
        <w:t xml:space="preserve"> </w:t>
      </w:r>
      <w:r w:rsidR="00BE593E">
        <w:t xml:space="preserve">и градостроительства </w:t>
      </w:r>
    </w:p>
    <w:p w:rsidR="007C5D6D" w:rsidRDefault="00BE593E">
      <w:pPr>
        <w:keepNext/>
        <w:ind w:left="5103"/>
      </w:pPr>
      <w:r>
        <w:t>Рязанской области</w:t>
      </w:r>
    </w:p>
    <w:p w:rsidR="007C5D6D" w:rsidRDefault="00504F42">
      <w:pPr>
        <w:keepNext/>
        <w:ind w:left="5103"/>
      </w:pPr>
      <w:r>
        <w:t>от 30 ноября 2021 г.</w:t>
      </w:r>
      <w:r w:rsidR="00BE593E" w:rsidRPr="00504F42">
        <w:t xml:space="preserve"> №</w:t>
      </w:r>
      <w:r w:rsidR="00BE593E">
        <w:t xml:space="preserve"> </w:t>
      </w:r>
      <w:r>
        <w:t>557-п</w:t>
      </w:r>
    </w:p>
    <w:p w:rsidR="007C5D6D" w:rsidRDefault="007C5D6D">
      <w:pPr>
        <w:pStyle w:val="a8"/>
        <w:keepNext/>
        <w:ind w:left="5103"/>
      </w:pPr>
    </w:p>
    <w:p w:rsidR="007C5D6D" w:rsidRDefault="007C5D6D">
      <w:pPr>
        <w:pStyle w:val="a8"/>
        <w:keepNext/>
        <w:rPr>
          <w:rFonts w:ascii="Times New Roman" w:hAnsi="Times New Roman"/>
          <w:sz w:val="72"/>
        </w:rPr>
      </w:pPr>
    </w:p>
    <w:p w:rsidR="007C5D6D" w:rsidRDefault="007C5D6D">
      <w:pPr>
        <w:pStyle w:val="a8"/>
        <w:keepNext/>
        <w:rPr>
          <w:rFonts w:ascii="Times New Roman" w:hAnsi="Times New Roman"/>
          <w:sz w:val="72"/>
        </w:rPr>
      </w:pPr>
    </w:p>
    <w:p w:rsidR="007C5D6D" w:rsidRDefault="007C5D6D">
      <w:pPr>
        <w:pStyle w:val="a8"/>
        <w:keepNext/>
        <w:rPr>
          <w:rFonts w:ascii="Times New Roman" w:hAnsi="Times New Roman"/>
          <w:sz w:val="72"/>
        </w:rPr>
      </w:pPr>
    </w:p>
    <w:p w:rsidR="007C5D6D" w:rsidRDefault="00BE593E">
      <w:pPr>
        <w:spacing w:before="1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7C5D6D" w:rsidRDefault="00BE593E">
      <w:pPr>
        <w:spacing w:before="100"/>
        <w:jc w:val="center"/>
      </w:pPr>
      <w:r>
        <w:rPr>
          <w:sz w:val="32"/>
          <w:szCs w:val="32"/>
        </w:rPr>
        <w:t xml:space="preserve">муниципального образования — </w:t>
      </w:r>
      <w:proofErr w:type="spellStart"/>
      <w:r>
        <w:rPr>
          <w:rFonts w:eastAsia="Times New Roman" w:cs="Times New Roman"/>
          <w:sz w:val="32"/>
          <w:szCs w:val="32"/>
          <w:lang w:bidi="ar-SA"/>
        </w:rPr>
        <w:t>Лакашинское</w:t>
      </w:r>
      <w:proofErr w:type="spellEnd"/>
      <w:r>
        <w:rPr>
          <w:rFonts w:eastAsia="Times New Roman" w:cs="Times New Roman"/>
          <w:sz w:val="32"/>
          <w:szCs w:val="32"/>
          <w:lang w:bidi="ar-SA"/>
        </w:rPr>
        <w:t xml:space="preserve"> </w:t>
      </w:r>
      <w:proofErr w:type="gramStart"/>
      <w:r>
        <w:rPr>
          <w:rFonts w:eastAsia="Times New Roman" w:cs="Times New Roman"/>
          <w:sz w:val="32"/>
          <w:szCs w:val="32"/>
          <w:lang w:bidi="ar-SA"/>
        </w:rPr>
        <w:t>с</w:t>
      </w:r>
      <w:r>
        <w:rPr>
          <w:sz w:val="32"/>
          <w:szCs w:val="32"/>
        </w:rPr>
        <w:t>ельское</w:t>
      </w:r>
      <w:proofErr w:type="gramEnd"/>
    </w:p>
    <w:p w:rsidR="007C5D6D" w:rsidRDefault="00BE593E">
      <w:pPr>
        <w:jc w:val="center"/>
      </w:pPr>
      <w:r>
        <w:rPr>
          <w:sz w:val="32"/>
          <w:szCs w:val="32"/>
        </w:rPr>
        <w:t xml:space="preserve">поселение </w:t>
      </w:r>
      <w:r>
        <w:rPr>
          <w:rFonts w:eastAsia="Times New Roman" w:cs="Times New Roman"/>
          <w:sz w:val="32"/>
          <w:szCs w:val="32"/>
          <w:lang w:bidi="ar-SA"/>
        </w:rPr>
        <w:t>Спасского</w:t>
      </w:r>
      <w:r>
        <w:rPr>
          <w:sz w:val="32"/>
          <w:szCs w:val="32"/>
        </w:rPr>
        <w:t xml:space="preserve"> муниципального района Рязанской области  </w:t>
      </w:r>
    </w:p>
    <w:p w:rsidR="007C5D6D" w:rsidRDefault="007C5D6D">
      <w:pPr>
        <w:spacing w:before="100"/>
        <w:jc w:val="center"/>
      </w:pPr>
    </w:p>
    <w:p w:rsidR="007C5D6D" w:rsidRDefault="007C5D6D">
      <w:pPr>
        <w:spacing w:before="100"/>
        <w:jc w:val="center"/>
        <w:rPr>
          <w:color w:val="000000"/>
          <w:sz w:val="28"/>
          <w:szCs w:val="28"/>
        </w:rPr>
      </w:pPr>
    </w:p>
    <w:p w:rsidR="007C5D6D" w:rsidRDefault="007C5D6D">
      <w:pPr>
        <w:spacing w:before="100"/>
        <w:jc w:val="center"/>
        <w:rPr>
          <w:color w:val="000000"/>
          <w:sz w:val="28"/>
          <w:szCs w:val="28"/>
        </w:rPr>
      </w:pPr>
    </w:p>
    <w:p w:rsidR="007C5D6D" w:rsidRDefault="00BE593E">
      <w:pPr>
        <w:spacing w:before="100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</w:rPr>
        <w:t>ПОЛОЖЕНИЕ О ТЕРРИТОРИАЛЬНОМ ПЛАНИРОВАНИИ</w:t>
      </w:r>
    </w:p>
    <w:p w:rsidR="007C5D6D" w:rsidRDefault="007C5D6D">
      <w:pPr>
        <w:jc w:val="center"/>
        <w:rPr>
          <w:color w:val="000000"/>
          <w:sz w:val="32"/>
          <w:szCs w:val="32"/>
        </w:rPr>
      </w:pPr>
    </w:p>
    <w:p w:rsidR="007C5D6D" w:rsidRDefault="007C5D6D">
      <w:pPr>
        <w:jc w:val="center"/>
        <w:rPr>
          <w:color w:val="000000"/>
          <w:sz w:val="32"/>
          <w:szCs w:val="32"/>
        </w:rPr>
      </w:pPr>
    </w:p>
    <w:p w:rsidR="007C5D6D" w:rsidRDefault="007C5D6D">
      <w:pPr>
        <w:jc w:val="center"/>
        <w:rPr>
          <w:color w:val="000000"/>
          <w:sz w:val="32"/>
          <w:szCs w:val="32"/>
        </w:rPr>
      </w:pPr>
    </w:p>
    <w:p w:rsidR="007C5D6D" w:rsidRDefault="007C5D6D">
      <w:pPr>
        <w:jc w:val="center"/>
        <w:rPr>
          <w:color w:val="000000"/>
          <w:sz w:val="32"/>
          <w:szCs w:val="32"/>
        </w:rPr>
      </w:pPr>
    </w:p>
    <w:p w:rsidR="007C5D6D" w:rsidRDefault="007C5D6D">
      <w:pPr>
        <w:jc w:val="center"/>
        <w:rPr>
          <w:color w:val="000000"/>
          <w:sz w:val="32"/>
          <w:szCs w:val="32"/>
        </w:rPr>
      </w:pPr>
    </w:p>
    <w:p w:rsidR="007C5D6D" w:rsidRDefault="007C5D6D">
      <w:pPr>
        <w:jc w:val="center"/>
        <w:rPr>
          <w:color w:val="000000"/>
          <w:sz w:val="32"/>
          <w:szCs w:val="32"/>
        </w:rPr>
      </w:pPr>
    </w:p>
    <w:p w:rsidR="007C5D6D" w:rsidRDefault="007C5D6D">
      <w:pPr>
        <w:jc w:val="center"/>
        <w:rPr>
          <w:color w:val="000000"/>
          <w:sz w:val="32"/>
          <w:szCs w:val="32"/>
        </w:rPr>
      </w:pPr>
    </w:p>
    <w:p w:rsidR="007C5D6D" w:rsidRDefault="007C5D6D">
      <w:pPr>
        <w:jc w:val="center"/>
        <w:rPr>
          <w:color w:val="000000"/>
          <w:sz w:val="32"/>
          <w:szCs w:val="32"/>
        </w:rPr>
      </w:pPr>
    </w:p>
    <w:p w:rsidR="007C5D6D" w:rsidRDefault="007C5D6D">
      <w:pPr>
        <w:jc w:val="center"/>
        <w:rPr>
          <w:color w:val="000000"/>
          <w:sz w:val="32"/>
          <w:szCs w:val="32"/>
        </w:rPr>
      </w:pPr>
    </w:p>
    <w:p w:rsidR="007C5D6D" w:rsidRDefault="007C5D6D">
      <w:pPr>
        <w:jc w:val="center"/>
        <w:rPr>
          <w:color w:val="000000"/>
          <w:sz w:val="32"/>
          <w:szCs w:val="32"/>
        </w:rPr>
      </w:pPr>
    </w:p>
    <w:p w:rsidR="007C5D6D" w:rsidRDefault="007C5D6D">
      <w:pPr>
        <w:jc w:val="center"/>
        <w:rPr>
          <w:rFonts w:eastAsia="Times New Roman" w:cs="Times New Roman"/>
          <w:color w:val="000000"/>
          <w:sz w:val="28"/>
          <w:szCs w:val="28"/>
          <w:lang w:bidi="ar-SA"/>
        </w:rPr>
      </w:pPr>
    </w:p>
    <w:p w:rsidR="007C5D6D" w:rsidRDefault="007C5D6D">
      <w:pPr>
        <w:spacing w:before="100" w:after="100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bidi="ar-SA"/>
        </w:rPr>
      </w:pPr>
    </w:p>
    <w:p w:rsidR="007C5D6D" w:rsidRDefault="007C5D6D">
      <w:pPr>
        <w:spacing w:before="100" w:after="100"/>
        <w:jc w:val="both"/>
        <w:textAlignment w:val="baseline"/>
      </w:pPr>
    </w:p>
    <w:p w:rsidR="007C5D6D" w:rsidRDefault="007C5D6D">
      <w:pPr>
        <w:jc w:val="both"/>
        <w:rPr>
          <w:sz w:val="28"/>
          <w:szCs w:val="28"/>
        </w:rPr>
      </w:pPr>
    </w:p>
    <w:p w:rsidR="007C5D6D" w:rsidRDefault="007C5D6D">
      <w:pPr>
        <w:jc w:val="both"/>
        <w:rPr>
          <w:sz w:val="28"/>
          <w:szCs w:val="28"/>
        </w:rPr>
      </w:pPr>
    </w:p>
    <w:p w:rsidR="007C5D6D" w:rsidRDefault="007C5D6D">
      <w:pPr>
        <w:jc w:val="both"/>
        <w:rPr>
          <w:sz w:val="28"/>
          <w:szCs w:val="28"/>
        </w:rPr>
      </w:pPr>
    </w:p>
    <w:p w:rsidR="007C5D6D" w:rsidRDefault="007C5D6D">
      <w:pPr>
        <w:jc w:val="both"/>
        <w:rPr>
          <w:sz w:val="28"/>
          <w:szCs w:val="28"/>
        </w:rPr>
      </w:pPr>
    </w:p>
    <w:p w:rsidR="007C5D6D" w:rsidRDefault="007C5D6D">
      <w:pPr>
        <w:jc w:val="both"/>
        <w:rPr>
          <w:sz w:val="28"/>
          <w:szCs w:val="28"/>
        </w:rPr>
      </w:pPr>
    </w:p>
    <w:p w:rsidR="007C5D6D" w:rsidRDefault="00BE593E">
      <w:pPr>
        <w:spacing w:before="100" w:after="100"/>
        <w:ind w:firstLine="709"/>
        <w:jc w:val="both"/>
        <w:textAlignment w:val="baseline"/>
      </w:pPr>
      <w:r w:rsidRPr="00537798">
        <w:rPr>
          <w:rStyle w:val="-"/>
          <w:rFonts w:eastAsia="Times New Roman" w:cs="Times New Roman"/>
          <w:b/>
          <w:iCs/>
          <w:color w:val="000000"/>
          <w:sz w:val="28"/>
          <w:szCs w:val="28"/>
          <w:u w:val="none"/>
          <w:lang w:bidi="ar-SA"/>
        </w:rPr>
        <w:lastRenderedPageBreak/>
        <w:t xml:space="preserve">1. </w:t>
      </w:r>
      <w:r w:rsidRPr="00537798">
        <w:rPr>
          <w:rFonts w:eastAsia="Times New Roman"/>
          <w:b/>
          <w:iCs/>
          <w:sz w:val="28"/>
          <w:szCs w:val="28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</w:t>
      </w:r>
      <w:r>
        <w:rPr>
          <w:rFonts w:eastAsia="Times New Roman"/>
          <w:iCs/>
          <w:sz w:val="28"/>
          <w:szCs w:val="28"/>
        </w:rPr>
        <w:t>.</w:t>
      </w:r>
    </w:p>
    <w:p w:rsidR="007C5D6D" w:rsidRDefault="00BE593E">
      <w:pPr>
        <w:pStyle w:val="20"/>
        <w:spacing w:before="100" w:after="100"/>
        <w:ind w:firstLine="737"/>
        <w:jc w:val="both"/>
        <w:textAlignment w:val="baseline"/>
      </w:pPr>
      <w:r>
        <w:t xml:space="preserve">Все объекты капитального строительства условно можно разделить </w:t>
      </w:r>
      <w:r w:rsidR="00537798">
        <w:br/>
      </w:r>
      <w:proofErr w:type="gramStart"/>
      <w:r>
        <w:t>на</w:t>
      </w:r>
      <w:proofErr w:type="gramEnd"/>
      <w:r>
        <w:t xml:space="preserve"> линейные, точечные и зональные:</w:t>
      </w:r>
    </w:p>
    <w:p w:rsidR="007C5D6D" w:rsidRDefault="00BE593E" w:rsidP="00537798">
      <w:pPr>
        <w:tabs>
          <w:tab w:val="left" w:pos="2257"/>
          <w:tab w:val="left" w:pos="2657"/>
        </w:tabs>
        <w:ind w:left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линейные (транспортные, инженерные коммуникации, линии связи);</w:t>
      </w:r>
    </w:p>
    <w:p w:rsidR="007C5D6D" w:rsidRDefault="00BE593E" w:rsidP="00537798">
      <w:pPr>
        <w:tabs>
          <w:tab w:val="left" w:pos="1537"/>
          <w:tab w:val="left" w:pos="1937"/>
        </w:tabs>
        <w:ind w:firstLine="73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точечные</w:t>
      </w:r>
      <w:proofErr w:type="gramEnd"/>
      <w:r>
        <w:rPr>
          <w:sz w:val="28"/>
          <w:szCs w:val="28"/>
        </w:rPr>
        <w:t>, требующие относительно небольших по размеру, компактных площадок;</w:t>
      </w:r>
    </w:p>
    <w:p w:rsidR="007C5D6D" w:rsidRDefault="00BE593E" w:rsidP="00537798">
      <w:pPr>
        <w:tabs>
          <w:tab w:val="left" w:pos="1537"/>
          <w:tab w:val="left" w:pos="1937"/>
        </w:tabs>
        <w:ind w:firstLine="73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зональные (площадного характера), представляющие собой совокупность близко расположенных объектов, создаваемые для освоения полезных ископаемых (например, строительного сырья), либо для длительного отдыха и туризма регионального значения.</w:t>
      </w:r>
    </w:p>
    <w:p w:rsidR="007C5D6D" w:rsidRDefault="00BE593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Объекты точечного характера в основном представлены объектами   производственной сферы и также социальной инфраструктуры. Их размещение целесообразно в местах, определенных сложившейся функционал</w:t>
      </w:r>
      <w:r w:rsidR="00EE4FA0">
        <w:rPr>
          <w:sz w:val="28"/>
          <w:szCs w:val="28"/>
        </w:rPr>
        <w:t>ьной и планировочной структурой поселения.</w:t>
      </w:r>
      <w:r>
        <w:rPr>
          <w:sz w:val="28"/>
          <w:szCs w:val="28"/>
        </w:rPr>
        <w:t xml:space="preserve"> Размещение линейных объектов о</w:t>
      </w:r>
      <w:r w:rsidR="00EE4FA0">
        <w:rPr>
          <w:sz w:val="28"/>
          <w:szCs w:val="28"/>
        </w:rPr>
        <w:t xml:space="preserve">бусловливается их </w:t>
      </w:r>
      <w:r>
        <w:rPr>
          <w:sz w:val="28"/>
          <w:szCs w:val="28"/>
        </w:rPr>
        <w:t>ролью в технологической цепочке соответствующей системы коммуникаций. При прокладке инженерных коммуникаций по возможности, следует рассматривать их совмещенную трассировку в виде коридоров коммуникаций.</w:t>
      </w:r>
    </w:p>
    <w:p w:rsidR="007C5D6D" w:rsidRDefault="00BE593E">
      <w:pPr>
        <w:ind w:firstLine="567"/>
        <w:contextualSpacing/>
        <w:jc w:val="both"/>
      </w:pPr>
      <w:r>
        <w:rPr>
          <w:rFonts w:eastAsia="Times New Roman" w:cs="Times New Roman"/>
          <w:sz w:val="28"/>
          <w:szCs w:val="28"/>
          <w:lang w:bidi="ar-SA"/>
        </w:rPr>
        <w:t>Анализ</w:t>
      </w:r>
      <w:r>
        <w:rPr>
          <w:sz w:val="28"/>
          <w:szCs w:val="28"/>
        </w:rPr>
        <w:t xml:space="preserve"> перечня объектов капитального строительства местного значения  производился с учетом:</w:t>
      </w:r>
    </w:p>
    <w:p w:rsidR="007C5D6D" w:rsidRDefault="00BE593E">
      <w:pPr>
        <w:ind w:firstLine="794"/>
        <w:contextualSpacing/>
        <w:jc w:val="both"/>
        <w:textAlignment w:val="baseline"/>
      </w:pPr>
      <w:r>
        <w:rPr>
          <w:sz w:val="28"/>
          <w:szCs w:val="28"/>
        </w:rPr>
        <w:t xml:space="preserve">- действующих целевых областных и районных программ, а также программ муниципального образования – </w:t>
      </w:r>
      <w:proofErr w:type="spellStart"/>
      <w:r>
        <w:rPr>
          <w:rFonts w:eastAsia="Times New Roman" w:cs="Times New Roman"/>
          <w:sz w:val="28"/>
          <w:szCs w:val="28"/>
          <w:lang w:bidi="ar-SA"/>
        </w:rPr>
        <w:t>Лакашинское</w:t>
      </w:r>
      <w:proofErr w:type="spellEnd"/>
      <w:r>
        <w:rPr>
          <w:rFonts w:eastAsia="Times New Roman" w:cs="Times New Roman"/>
          <w:sz w:val="28"/>
          <w:szCs w:val="28"/>
          <w:lang w:bidi="ar-SA"/>
        </w:rPr>
        <w:t xml:space="preserve"> </w:t>
      </w:r>
      <w:r>
        <w:rPr>
          <w:sz w:val="28"/>
          <w:szCs w:val="28"/>
        </w:rPr>
        <w:t>сельское поселение;</w:t>
      </w:r>
    </w:p>
    <w:p w:rsidR="007C5D6D" w:rsidRDefault="00BE593E">
      <w:pPr>
        <w:ind w:firstLine="79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предложений Схемы территориального планирования Рязанской области;</w:t>
      </w:r>
    </w:p>
    <w:p w:rsidR="007C5D6D" w:rsidRDefault="00BE593E">
      <w:pPr>
        <w:ind w:firstLine="794"/>
        <w:contextualSpacing/>
        <w:jc w:val="both"/>
        <w:textAlignment w:val="baseline"/>
      </w:pPr>
      <w:r>
        <w:rPr>
          <w:sz w:val="28"/>
          <w:szCs w:val="28"/>
        </w:rPr>
        <w:t xml:space="preserve">- предложений Схемы территориального планирования </w:t>
      </w:r>
      <w:r>
        <w:rPr>
          <w:rFonts w:eastAsia="Times New Roman" w:cs="Times New Roman"/>
          <w:sz w:val="28"/>
          <w:szCs w:val="28"/>
          <w:lang w:bidi="ar-SA"/>
        </w:rPr>
        <w:t>Спасского</w:t>
      </w:r>
      <w:r>
        <w:rPr>
          <w:sz w:val="28"/>
          <w:szCs w:val="28"/>
        </w:rPr>
        <w:t xml:space="preserve"> муниципального района;</w:t>
      </w:r>
    </w:p>
    <w:p w:rsidR="007C5D6D" w:rsidRDefault="00BE593E">
      <w:pPr>
        <w:ind w:firstLine="79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наличия обоснований целесообразности строительства объектов </w:t>
      </w:r>
      <w:r w:rsidR="00EE4FA0">
        <w:rPr>
          <w:sz w:val="28"/>
          <w:szCs w:val="28"/>
        </w:rPr>
        <w:br/>
      </w:r>
      <w:r>
        <w:rPr>
          <w:sz w:val="28"/>
          <w:szCs w:val="28"/>
        </w:rPr>
        <w:t>в составе инвестиционных проектов.</w:t>
      </w:r>
    </w:p>
    <w:p w:rsidR="007C5D6D" w:rsidRDefault="00EE4FA0" w:rsidP="00EE4FA0">
      <w:pPr>
        <w:ind w:firstLine="709"/>
        <w:contextualSpacing/>
        <w:jc w:val="both"/>
        <w:textAlignment w:val="baseline"/>
      </w:pPr>
      <w:r>
        <w:rPr>
          <w:rFonts w:eastAsia="Times New Roman" w:cs="Times New Roman"/>
          <w:sz w:val="28"/>
          <w:szCs w:val="28"/>
          <w:lang w:bidi="ar-SA"/>
        </w:rPr>
        <w:t>В</w:t>
      </w:r>
      <w:r w:rsidR="00BE593E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BE593E">
        <w:rPr>
          <w:rStyle w:val="-"/>
          <w:rFonts w:eastAsia="Times New Roman" w:cs="Times New Roman"/>
          <w:color w:val="auto"/>
          <w:sz w:val="28"/>
          <w:szCs w:val="28"/>
          <w:u w:val="none"/>
          <w:lang w:bidi="ar-SA"/>
        </w:rPr>
        <w:t xml:space="preserve">документах территориального планирования Рязанской области  размещение объектов местного значения на территории муниципального образования – </w:t>
      </w:r>
      <w:proofErr w:type="spellStart"/>
      <w:r w:rsidR="00BE593E">
        <w:rPr>
          <w:rStyle w:val="-"/>
          <w:rFonts w:eastAsia="Times New Roman" w:cs="Times New Roman"/>
          <w:color w:val="auto"/>
          <w:sz w:val="28"/>
          <w:szCs w:val="28"/>
          <w:u w:val="none"/>
          <w:lang w:bidi="ar-SA"/>
        </w:rPr>
        <w:t>Лакашинское</w:t>
      </w:r>
      <w:proofErr w:type="spellEnd"/>
      <w:r w:rsidR="00BE593E">
        <w:rPr>
          <w:rStyle w:val="-"/>
          <w:rFonts w:eastAsia="Times New Roman" w:cs="Times New Roman"/>
          <w:color w:val="auto"/>
          <w:sz w:val="28"/>
          <w:szCs w:val="28"/>
          <w:u w:val="none"/>
          <w:lang w:bidi="ar-SA"/>
        </w:rPr>
        <w:t xml:space="preserve"> сельское поселение Спасского муниципального  образования Рязанской области в  расчетный срок Генерального плана </w:t>
      </w:r>
      <w:r>
        <w:rPr>
          <w:rStyle w:val="-"/>
          <w:rFonts w:eastAsia="Times New Roman" w:cs="Times New Roman"/>
          <w:color w:val="auto"/>
          <w:sz w:val="28"/>
          <w:szCs w:val="28"/>
          <w:u w:val="none"/>
          <w:lang w:bidi="ar-SA"/>
        </w:rPr>
        <w:br/>
      </w:r>
      <w:r w:rsidR="00BE593E">
        <w:rPr>
          <w:rStyle w:val="-"/>
          <w:rFonts w:eastAsia="Times New Roman" w:cs="Times New Roman"/>
          <w:color w:val="auto"/>
          <w:sz w:val="28"/>
          <w:szCs w:val="28"/>
          <w:u w:val="none"/>
          <w:lang w:bidi="ar-SA"/>
        </w:rPr>
        <w:t>не предусмотрено.</w:t>
      </w:r>
    </w:p>
    <w:p w:rsidR="007C5D6D" w:rsidRPr="00D1585E" w:rsidRDefault="00BE593E">
      <w:pPr>
        <w:spacing w:before="100" w:after="100"/>
        <w:ind w:firstLine="567"/>
        <w:jc w:val="both"/>
        <w:textAlignment w:val="baseline"/>
        <w:rPr>
          <w:b/>
        </w:rPr>
      </w:pPr>
      <w:r w:rsidRPr="00D1585E">
        <w:rPr>
          <w:rFonts w:eastAsia="Times New Roman" w:cs="Times New Roman"/>
          <w:b/>
          <w:sz w:val="28"/>
          <w:szCs w:val="28"/>
          <w:lang w:bidi="ar-SA"/>
        </w:rPr>
        <w:t xml:space="preserve">2. </w:t>
      </w:r>
      <w:r w:rsidRPr="00D1585E">
        <w:rPr>
          <w:rFonts w:eastAsia="Times New Roman" w:cs="Times New Roman"/>
          <w:b/>
          <w:iCs/>
          <w:sz w:val="28"/>
          <w:szCs w:val="28"/>
          <w:lang w:bidi="ar-SA"/>
        </w:rPr>
        <w:t xml:space="preserve">Параметры функциональных зон, а также сведения о планируемых               для размещения в них объектах федерального и регионального значения, объектов местного значения, за исключением линейных объектов. </w:t>
      </w:r>
    </w:p>
    <w:p w:rsidR="007C5D6D" w:rsidRDefault="00BE593E">
      <w:pPr>
        <w:spacing w:before="100" w:line="276" w:lineRule="auto"/>
        <w:ind w:firstLine="720"/>
        <w:jc w:val="both"/>
      </w:pPr>
      <w:r>
        <w:rPr>
          <w:sz w:val="28"/>
          <w:szCs w:val="28"/>
        </w:rPr>
        <w:t xml:space="preserve">Согласно пункту 5 статья 1 Градостроительного кодекса Российской Федерации, функциональные зоны - это зоны, для которых документами территориального планирования определены границы и функциональное </w:t>
      </w:r>
      <w:r>
        <w:rPr>
          <w:sz w:val="28"/>
          <w:szCs w:val="28"/>
        </w:rPr>
        <w:lastRenderedPageBreak/>
        <w:t xml:space="preserve">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 </w:t>
      </w:r>
      <w:r>
        <w:rPr>
          <w:sz w:val="28"/>
          <w:szCs w:val="28"/>
          <w:lang w:eastAsia="ar-SA"/>
        </w:rPr>
        <w:t xml:space="preserve">При установлении территориальных зон учтены положения Градостроительного, Земельного и Водного кодексов Российской Федерации, требования специальных нормативов и правил, касающиеся зон с нормируемым режимом градостроительной деятельности. </w:t>
      </w:r>
    </w:p>
    <w:p w:rsidR="007C5D6D" w:rsidRDefault="00BE593E">
      <w:pPr>
        <w:spacing w:line="276" w:lineRule="auto"/>
        <w:ind w:firstLine="737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деятельности. Зонирование </w:t>
      </w:r>
      <w:proofErr w:type="gramStart"/>
      <w:r>
        <w:rPr>
          <w:sz w:val="28"/>
          <w:szCs w:val="28"/>
          <w:lang w:eastAsia="ar-SA"/>
        </w:rPr>
        <w:t>устанавливает условия</w:t>
      </w:r>
      <w:proofErr w:type="gramEnd"/>
      <w:r>
        <w:rPr>
          <w:sz w:val="28"/>
          <w:szCs w:val="28"/>
          <w:lang w:eastAsia="ar-SA"/>
        </w:rPr>
        <w:t xml:space="preserve"> использования территории, обязательные для всех участников градостроительной деятельности, в части функциональной принадлежности, плотности и характера застройки, ландшафтной организации территории.</w:t>
      </w:r>
    </w:p>
    <w:p w:rsidR="007C5D6D" w:rsidRDefault="00BE593E">
      <w:pPr>
        <w:spacing w:line="276" w:lineRule="auto"/>
        <w:ind w:firstLine="680"/>
        <w:jc w:val="both"/>
        <w:textAlignment w:val="baseline"/>
      </w:pPr>
      <w:r>
        <w:rPr>
          <w:sz w:val="28"/>
          <w:szCs w:val="28"/>
          <w:lang w:eastAsia="ar-SA"/>
        </w:rPr>
        <w:t xml:space="preserve">Границы и описание функциональных зон с указанием планируемых для размещения в них объектов федерального значения, объектов регионального </w:t>
      </w:r>
      <w:r>
        <w:rPr>
          <w:sz w:val="28"/>
          <w:szCs w:val="28"/>
        </w:rPr>
        <w:t xml:space="preserve">значения, объектов местного значения отображены на </w:t>
      </w:r>
      <w:r>
        <w:rPr>
          <w:rFonts w:eastAsia="Times New Roman" w:cs="Times New Roman"/>
          <w:sz w:val="28"/>
          <w:szCs w:val="28"/>
          <w:lang w:bidi="ar-SA"/>
        </w:rPr>
        <w:t>карте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bidi="ar-SA"/>
        </w:rPr>
        <w:t>планируемого размещения объектов местного значения</w:t>
      </w:r>
      <w:r>
        <w:rPr>
          <w:sz w:val="28"/>
          <w:szCs w:val="28"/>
        </w:rPr>
        <w:t>.</w:t>
      </w:r>
    </w:p>
    <w:p w:rsidR="007C5D6D" w:rsidRDefault="00BE593E">
      <w:pPr>
        <w:spacing w:line="276" w:lineRule="auto"/>
        <w:ind w:firstLine="737"/>
        <w:jc w:val="both"/>
        <w:textAlignment w:val="baseline"/>
      </w:pPr>
      <w:r>
        <w:rPr>
          <w:color w:val="000000"/>
          <w:sz w:val="28"/>
          <w:szCs w:val="28"/>
          <w:lang w:eastAsia="ar-SA"/>
        </w:rPr>
        <w:t xml:space="preserve"> Жилые зоны расположены в населенном пункте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и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t>предназначены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 для размещения жилых строений, а также объектов социального и коммунально-бытового назначения, объектов здравоохранения, общего образования, стоянок автомобильного транспорта, гараж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t xml:space="preserve">ей и иных объектов, связанных </w:t>
      </w:r>
      <w:r w:rsidR="00A519C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br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t xml:space="preserve">с проживанием граждан. </w:t>
      </w:r>
    </w:p>
    <w:p w:rsidR="007C5D6D" w:rsidRDefault="00BE593E">
      <w:pPr>
        <w:spacing w:line="276" w:lineRule="auto"/>
        <w:ind w:firstLine="737"/>
        <w:jc w:val="both"/>
        <w:textAlignment w:val="baseline"/>
        <w:rPr>
          <w:rFonts w:eastAsia="Times New Roman" w:cs="Liberation Serif;Times New Roma"/>
          <w:color w:val="000000"/>
          <w:sz w:val="28"/>
          <w:szCs w:val="28"/>
          <w:shd w:val="clear" w:color="auto" w:fill="FFFFFF"/>
          <w:lang w:eastAsia="ar-SA" w:bidi="ar-SA"/>
        </w:rPr>
      </w:pPr>
      <w:proofErr w:type="gramStart"/>
      <w:r>
        <w:rPr>
          <w:rFonts w:eastAsia="Times New Roman" w:cs="Liberation Serif;Times New Roma"/>
          <w:color w:val="000000"/>
          <w:sz w:val="28"/>
          <w:szCs w:val="28"/>
          <w:shd w:val="clear" w:color="auto" w:fill="FFFFFF"/>
          <w:lang w:eastAsia="ar-SA" w:bidi="ar-SA"/>
        </w:rPr>
        <w:t>Общественно-деловые зоны предназначены для преимущественного размещения объектов управления, здравоохранения, культуры, просвещения, связи, торговли, общественного питания, бытового обслуживания, коммерческой деятельности, а также учреждений среднего профессионального и высшего образования, научно-исследовательских, административных учреждений, культовых объектов, центров деловой, финансовой и общественной активности, стоянок автомобильного транспорта и иных зданий.</w:t>
      </w:r>
      <w:proofErr w:type="gramEnd"/>
    </w:p>
    <w:p w:rsidR="007C5D6D" w:rsidRDefault="00BE593E">
      <w:pPr>
        <w:spacing w:line="276" w:lineRule="auto"/>
        <w:ind w:firstLine="737"/>
        <w:jc w:val="both"/>
        <w:textAlignment w:val="baseline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t xml:space="preserve">Зона специализированной общественной застройки предназначена для размещения объектов дошкольного, среднего  и высшего образования,  культовых зданий, спортивных сооружений и иных объектов, связанных </w:t>
      </w:r>
      <w:r w:rsidR="00A519C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br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t>с обеспечением жизнедеятельности граждан.</w:t>
      </w:r>
    </w:p>
    <w:p w:rsidR="007C5D6D" w:rsidRDefault="00BE593E">
      <w:pPr>
        <w:spacing w:line="276" w:lineRule="auto"/>
        <w:ind w:firstLine="680"/>
        <w:jc w:val="both"/>
        <w:textAlignment w:val="baseline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t>Производственная зона предназначена для размещения промышленных, коммунальных и складских объектов.</w:t>
      </w:r>
    </w:p>
    <w:p w:rsidR="007C5D6D" w:rsidRDefault="007C5D6D">
      <w:pPr>
        <w:pStyle w:val="1"/>
        <w:numPr>
          <w:ilvl w:val="0"/>
          <w:numId w:val="0"/>
        </w:numPr>
        <w:suppressAutoHyphens/>
        <w:spacing w:before="0" w:after="0" w:line="276" w:lineRule="auto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ar-SA" w:bidi="ar-SA"/>
        </w:rPr>
      </w:pPr>
    </w:p>
    <w:p w:rsidR="007C5D6D" w:rsidRDefault="00BE593E">
      <w:pPr>
        <w:pStyle w:val="1"/>
        <w:numPr>
          <w:ilvl w:val="0"/>
          <w:numId w:val="0"/>
        </w:numPr>
        <w:suppressAutoHyphens/>
        <w:spacing w:before="0" w:after="0" w:line="276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ar-SA" w:bidi="ar-SA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ar-SA" w:bidi="ar-SA"/>
        </w:rPr>
        <w:t>Зона транспортной инфраструктуры выделена  для обеспечения правовых условий формирования территорий,  размещения объектов транспортной инфраструктуры.</w:t>
      </w:r>
    </w:p>
    <w:p w:rsidR="007C5D6D" w:rsidRDefault="00BE593E">
      <w:pPr>
        <w:spacing w:line="276" w:lineRule="auto"/>
        <w:ind w:firstLine="680"/>
        <w:jc w:val="both"/>
        <w:textAlignment w:val="baseline"/>
      </w:pPr>
      <w:r>
        <w:rPr>
          <w:rFonts w:eastAsia="Times New Roman" w:cs="Times New Roman"/>
          <w:sz w:val="28"/>
          <w:szCs w:val="28"/>
          <w:lang w:eastAsia="ar-SA" w:bidi="ar-SA"/>
        </w:rPr>
        <w:t xml:space="preserve">Зона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t>сельскохозяйственных угодий сформирована для выделения территорий сельскохозяйственных угодий в составе земель сельскохозяйственного назначения.</w:t>
      </w:r>
    </w:p>
    <w:p w:rsidR="007C5D6D" w:rsidRDefault="00BE593E">
      <w:pPr>
        <w:spacing w:line="276" w:lineRule="auto"/>
        <w:ind w:firstLine="680"/>
        <w:jc w:val="both"/>
        <w:textAlignment w:val="baseline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t>Производственная зона сельскохозяйственных предприятий  используется для размещения объектов сельскохозяйственного назначения: здания, строения, сооружения, использующиеся для производства, хранения и первичной обработки сельскохозяйственной продукции.</w:t>
      </w:r>
    </w:p>
    <w:p w:rsidR="007C5D6D" w:rsidRDefault="00BE593E">
      <w:pPr>
        <w:spacing w:line="276" w:lineRule="auto"/>
        <w:ind w:firstLine="680"/>
        <w:jc w:val="both"/>
        <w:textAlignment w:val="baseline"/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t xml:space="preserve">Зона озелененных территорий общего пользования (лесопарки, парки, сады, скверы, бульвары, городские леса)  устанавливается в целях организации отдыха населения, сохранения санитарно-гигиенической, оздоровительной </w:t>
      </w:r>
      <w:r w:rsidR="00A519C9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br/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 w:bidi="ar-SA"/>
        </w:rPr>
        <w:t xml:space="preserve">и эстетической ценности природных ландшафтов.  </w:t>
      </w:r>
    </w:p>
    <w:p w:rsidR="007C5D6D" w:rsidRDefault="00BE593E">
      <w:pPr>
        <w:spacing w:line="276" w:lineRule="auto"/>
        <w:ind w:firstLine="680"/>
        <w:jc w:val="both"/>
        <w:textAlignment w:val="baseline"/>
      </w:pPr>
      <w:r>
        <w:rPr>
          <w:rFonts w:eastAsia="Times New Roman"/>
          <w:sz w:val="28"/>
          <w:szCs w:val="28"/>
          <w:lang w:eastAsia="ar-SA"/>
        </w:rPr>
        <w:t xml:space="preserve"> Зона лесов 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устанавливается на землях лесного фонд и </w:t>
      </w:r>
      <w:r>
        <w:rPr>
          <w:rFonts w:eastAsia="Times New Roman"/>
          <w:sz w:val="28"/>
          <w:szCs w:val="28"/>
          <w:lang w:eastAsia="ar-SA"/>
        </w:rPr>
        <w:t xml:space="preserve"> определяется </w:t>
      </w:r>
      <w:r w:rsidR="00A519C9">
        <w:rPr>
          <w:rFonts w:eastAsia="Times New Roman"/>
          <w:sz w:val="28"/>
          <w:szCs w:val="28"/>
          <w:lang w:eastAsia="ar-SA"/>
        </w:rPr>
        <w:br/>
      </w:r>
      <w:r>
        <w:rPr>
          <w:rFonts w:eastAsia="Times New Roman"/>
          <w:sz w:val="28"/>
          <w:szCs w:val="28"/>
          <w:lang w:eastAsia="ar-SA"/>
        </w:rPr>
        <w:t xml:space="preserve">в целях дифференциации режима использования, охраны, защиты </w:t>
      </w:r>
      <w:r w:rsidR="00A519C9">
        <w:rPr>
          <w:rFonts w:eastAsia="Times New Roman"/>
          <w:sz w:val="28"/>
          <w:szCs w:val="28"/>
          <w:lang w:eastAsia="ar-SA"/>
        </w:rPr>
        <w:br/>
      </w:r>
      <w:r>
        <w:rPr>
          <w:rFonts w:eastAsia="Times New Roman"/>
          <w:sz w:val="28"/>
          <w:szCs w:val="28"/>
          <w:lang w:eastAsia="ar-SA"/>
        </w:rPr>
        <w:t xml:space="preserve">и воспроизводства лесов,  а также для сохранения мест обитания фауны </w:t>
      </w:r>
      <w:r w:rsidR="00A519C9">
        <w:rPr>
          <w:rFonts w:eastAsia="Times New Roman"/>
          <w:sz w:val="28"/>
          <w:szCs w:val="28"/>
          <w:lang w:eastAsia="ar-SA"/>
        </w:rPr>
        <w:br/>
      </w:r>
      <w:r>
        <w:rPr>
          <w:rFonts w:eastAsia="Times New Roman"/>
          <w:sz w:val="28"/>
          <w:szCs w:val="28"/>
          <w:lang w:eastAsia="ar-SA"/>
        </w:rPr>
        <w:t xml:space="preserve">и восстановления нарушенных природных ландшафтов. </w:t>
      </w:r>
    </w:p>
    <w:p w:rsidR="007C5D6D" w:rsidRDefault="00A70F24">
      <w:pPr>
        <w:spacing w:line="276" w:lineRule="auto"/>
        <w:ind w:firstLine="737"/>
        <w:jc w:val="both"/>
        <w:textAlignment w:val="baseline"/>
      </w:pPr>
      <w:r>
        <w:rPr>
          <w:color w:val="000000"/>
          <w:sz w:val="28"/>
          <w:szCs w:val="28"/>
        </w:rPr>
        <w:t>Иные зоны –</w:t>
      </w:r>
      <w:r w:rsidR="00BE593E">
        <w:rPr>
          <w:rFonts w:eastAsia="Times New Roman" w:cs="Times New Roman"/>
          <w:color w:val="000000"/>
          <w:sz w:val="28"/>
          <w:szCs w:val="28"/>
          <w:lang w:bidi="ar-SA"/>
        </w:rPr>
        <w:t xml:space="preserve"> данная зона выделена для земель особо охраняемых территорий и объектов.</w:t>
      </w:r>
    </w:p>
    <w:p w:rsidR="007C5D6D" w:rsidRDefault="00A70F24" w:rsidP="00494FD9">
      <w:pPr>
        <w:spacing w:line="276" w:lineRule="auto"/>
        <w:ind w:firstLine="73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ar-SA" w:bidi="ar-SA"/>
        </w:rPr>
      </w:pPr>
      <w:r>
        <w:rPr>
          <w:rFonts w:eastAsia="Times New Roman" w:cs="Times New Roman"/>
          <w:color w:val="000000"/>
          <w:sz w:val="28"/>
          <w:szCs w:val="28"/>
          <w:lang w:eastAsia="ar-SA" w:bidi="ar-SA"/>
        </w:rPr>
        <w:t>Зона кладбищ –</w:t>
      </w:r>
      <w:r w:rsidR="00BE593E">
        <w:rPr>
          <w:rFonts w:eastAsia="Times New Roman" w:cs="Times New Roman"/>
          <w:color w:val="000000"/>
          <w:sz w:val="28"/>
          <w:szCs w:val="28"/>
          <w:lang w:eastAsia="ar-SA" w:bidi="ar-SA"/>
        </w:rPr>
        <w:t xml:space="preserve"> это </w:t>
      </w:r>
      <w:proofErr w:type="gramStart"/>
      <w:r w:rsidR="00BE593E">
        <w:rPr>
          <w:rFonts w:eastAsia="Times New Roman" w:cs="Times New Roman"/>
          <w:color w:val="000000"/>
          <w:sz w:val="28"/>
          <w:szCs w:val="28"/>
          <w:lang w:eastAsia="ar-SA" w:bidi="ar-SA"/>
        </w:rPr>
        <w:t>территория</w:t>
      </w:r>
      <w:proofErr w:type="gramEnd"/>
      <w:r w:rsidR="00BE593E">
        <w:rPr>
          <w:rFonts w:eastAsia="Times New Roman" w:cs="Times New Roman"/>
          <w:color w:val="000000"/>
          <w:sz w:val="28"/>
          <w:szCs w:val="28"/>
          <w:lang w:eastAsia="ar-SA" w:bidi="ar-SA"/>
        </w:rPr>
        <w:t xml:space="preserve"> предназначенная для захоронения, на которой размещаются здания и сооружения для проведения скорбных </w:t>
      </w:r>
      <w:r w:rsidR="00A519C9">
        <w:rPr>
          <w:rFonts w:eastAsia="Times New Roman" w:cs="Times New Roman"/>
          <w:color w:val="000000"/>
          <w:sz w:val="28"/>
          <w:szCs w:val="28"/>
          <w:lang w:eastAsia="ar-SA" w:bidi="ar-SA"/>
        </w:rPr>
        <w:br/>
      </w:r>
      <w:r w:rsidR="00BE593E">
        <w:rPr>
          <w:rFonts w:eastAsia="Times New Roman" w:cs="Times New Roman"/>
          <w:color w:val="000000"/>
          <w:sz w:val="28"/>
          <w:szCs w:val="28"/>
          <w:lang w:eastAsia="ar-SA" w:bidi="ar-SA"/>
        </w:rPr>
        <w:t>и траурных обрядов, культовые здания и сооружения. В зонах кладбищ допускается размещение объектов общественно-делового назначения, связанных с обслуживанием данной зоны.</w:t>
      </w:r>
    </w:p>
    <w:p w:rsidR="007C5D6D" w:rsidRDefault="007C5D6D">
      <w:pPr>
        <w:spacing w:line="276" w:lineRule="auto"/>
        <w:ind w:firstLine="567"/>
        <w:jc w:val="both"/>
        <w:textAlignment w:val="baseline"/>
      </w:pPr>
    </w:p>
    <w:tbl>
      <w:tblPr>
        <w:tblW w:w="9871" w:type="dxa"/>
        <w:tblInd w:w="-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69"/>
        <w:gridCol w:w="5672"/>
        <w:gridCol w:w="2730"/>
      </w:tblGrid>
      <w:tr w:rsidR="007C5D6D" w:rsidTr="00A70F24">
        <w:trPr>
          <w:trHeight w:val="702"/>
          <w:tblHeader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a9"/>
              <w:widowControl w:val="0"/>
              <w:spacing w:before="0" w:after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Код объекта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a9"/>
              <w:widowControl w:val="0"/>
              <w:spacing w:before="0" w:after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a9"/>
              <w:widowControl w:val="0"/>
              <w:spacing w:before="0" w:after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Условные обозначения</w:t>
            </w:r>
          </w:p>
        </w:tc>
      </w:tr>
      <w:tr w:rsidR="007C5D6D" w:rsidTr="00A70F24">
        <w:trPr>
          <w:trHeight w:val="430"/>
          <w:tblHeader/>
        </w:trPr>
        <w:tc>
          <w:tcPr>
            <w:tcW w:w="9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Функциональные зоны</w:t>
            </w:r>
          </w:p>
        </w:tc>
      </w:tr>
      <w:tr w:rsidR="007C5D6D" w:rsidTr="00A70F24">
        <w:trPr>
          <w:trHeight w:val="62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color w:val="000000"/>
                <w:sz w:val="24"/>
                <w:szCs w:val="24"/>
              </w:rPr>
              <w:t>70101010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0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Зона застройки индивидуальными жилыми домами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D4B6B2" wp14:editId="10719346">
                  <wp:extent cx="720090" cy="36004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568" t="-1143" r="-568" b="-1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D6D" w:rsidTr="00A70F24">
        <w:trPr>
          <w:trHeight w:val="624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t>701010102</w:t>
            </w:r>
          </w:p>
        </w:tc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0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Зона застройки малоэтажными жилыми домами (до 4 </w:t>
            </w:r>
            <w:proofErr w:type="spellStart"/>
            <w:r>
              <w:rPr>
                <w:color w:val="000000"/>
                <w:sz w:val="24"/>
              </w:rPr>
              <w:t>эт</w:t>
            </w:r>
            <w:proofErr w:type="spellEnd"/>
            <w:r>
              <w:rPr>
                <w:color w:val="000000"/>
                <w:sz w:val="24"/>
              </w:rPr>
              <w:t xml:space="preserve">., включая </w:t>
            </w:r>
            <w:proofErr w:type="gramStart"/>
            <w:r>
              <w:rPr>
                <w:color w:val="000000"/>
                <w:sz w:val="24"/>
              </w:rPr>
              <w:t>мансардный</w:t>
            </w:r>
            <w:proofErr w:type="gram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7E7449D6" wp14:editId="4E419585">
                  <wp:extent cx="720090" cy="360045"/>
                  <wp:effectExtent l="0" t="0" r="0" b="0"/>
                  <wp:docPr id="2" name="Рисунок 3616" descr="609010101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616" descr="609010101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D6D" w:rsidTr="00A70F24">
        <w:trPr>
          <w:trHeight w:val="624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t>701010301</w:t>
            </w:r>
          </w:p>
        </w:tc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0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Многофункциональная общественно-деловая зона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25D373D3" wp14:editId="3C0F2305">
                  <wp:extent cx="720090" cy="360045"/>
                  <wp:effectExtent l="0" t="0" r="0" b="0"/>
                  <wp:docPr id="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584" t="-1155" r="-584" b="-1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D6D" w:rsidTr="00A70F24">
        <w:trPr>
          <w:trHeight w:val="620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widowControl w:val="0"/>
              <w:spacing w:before="100" w:after="100"/>
              <w:jc w:val="center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701010302</w:t>
            </w:r>
          </w:p>
        </w:tc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widowControl w:val="0"/>
              <w:spacing w:before="100" w:after="100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Зона специализированной общественной застройки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57F2F434" wp14:editId="1E8F6102">
                  <wp:extent cx="720090" cy="360045"/>
                  <wp:effectExtent l="0" t="0" r="0" b="0"/>
                  <wp:docPr id="4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581" t="-1130" r="-581" b="-1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D6D" w:rsidTr="00A70F24">
        <w:trPr>
          <w:trHeight w:val="680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widowControl w:val="0"/>
              <w:spacing w:before="100" w:after="100"/>
              <w:jc w:val="center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lastRenderedPageBreak/>
              <w:t>701010401</w:t>
            </w:r>
          </w:p>
        </w:tc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widowControl w:val="0"/>
              <w:spacing w:before="100" w:after="100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Производственная зона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5B38B5B4" wp14:editId="299F94C1">
                  <wp:extent cx="720090" cy="360045"/>
                  <wp:effectExtent l="0" t="0" r="0" b="0"/>
                  <wp:docPr id="5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581" t="-1130" r="-581" b="-1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D6D" w:rsidTr="00A70F24">
        <w:trPr>
          <w:trHeight w:val="680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701010405</w:t>
            </w:r>
          </w:p>
        </w:tc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0"/>
              <w:widowControl w:val="0"/>
            </w:pPr>
            <w:r>
              <w:rPr>
                <w:color w:val="000000"/>
                <w:sz w:val="24"/>
              </w:rPr>
              <w:t>Зона транспортной инфраструктуры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4CD957F8" wp14:editId="4910B317">
                  <wp:extent cx="720090" cy="360045"/>
                  <wp:effectExtent l="0" t="0" r="0" b="0"/>
                  <wp:docPr id="6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-436" t="-847" r="-436" b="-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D6D" w:rsidTr="00A70F24">
        <w:trPr>
          <w:trHeight w:val="680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color w:val="000000"/>
                <w:sz w:val="24"/>
                <w:szCs w:val="24"/>
              </w:rPr>
              <w:t>70101050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0"/>
              <w:widowControl w:val="0"/>
            </w:pPr>
            <w:r>
              <w:rPr>
                <w:color w:val="000000"/>
                <w:sz w:val="24"/>
              </w:rPr>
              <w:t>Зона сельскохозяйственных угодий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7F5CEA18" wp14:editId="2A8DA723">
                  <wp:extent cx="720090" cy="360045"/>
                  <wp:effectExtent l="0" t="0" r="0" b="0"/>
                  <wp:docPr id="7" name="Изображение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D6D" w:rsidTr="00A70F24">
        <w:trPr>
          <w:trHeight w:val="680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  <w:rPr>
                <w:color w:val="000000"/>
                <w:sz w:val="24"/>
                <w:szCs w:val="24"/>
                <w:lang w:val="en-US" w:eastAsia="ar-SA"/>
              </w:rPr>
            </w:pPr>
            <w:r>
              <w:rPr>
                <w:color w:val="000000"/>
                <w:sz w:val="24"/>
                <w:szCs w:val="24"/>
                <w:lang w:val="en-US" w:eastAsia="ar-SA"/>
              </w:rPr>
              <w:t>701010503</w:t>
            </w:r>
          </w:p>
        </w:tc>
        <w:tc>
          <w:tcPr>
            <w:tcW w:w="5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0"/>
              <w:widowControl w:val="0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Производственная зона сельскохозяйственных предприятий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1EFFF9FB" wp14:editId="5D25DF46">
                  <wp:extent cx="720090" cy="360045"/>
                  <wp:effectExtent l="0" t="0" r="0" b="0"/>
                  <wp:docPr id="8" name="Изображение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-581" t="-1130" r="-581" b="-1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D6D" w:rsidTr="00A70F24">
        <w:trPr>
          <w:trHeight w:val="89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701010601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0"/>
              <w:widowControl w:val="0"/>
            </w:pPr>
            <w:r>
              <w:rPr>
                <w:color w:val="000000"/>
                <w:sz w:val="24"/>
              </w:rPr>
              <w:t xml:space="preserve">Зона озелененных территорий общего пользования (лесопарки, парки, сады, скверы, бульвары, городские леса)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4A64EB20" wp14:editId="1C9CF69B">
                  <wp:extent cx="720090" cy="360045"/>
                  <wp:effectExtent l="0" t="0" r="0" b="0"/>
                  <wp:docPr id="9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-581" t="-1130" r="-581" b="-1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D6D" w:rsidTr="00A70F24">
        <w:trPr>
          <w:trHeight w:val="68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sz w:val="24"/>
                <w:szCs w:val="24"/>
              </w:rPr>
              <w:t>7010106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0"/>
              <w:widowControl w:val="0"/>
              <w:rPr>
                <w:sz w:val="24"/>
              </w:rPr>
            </w:pPr>
            <w:r>
              <w:rPr>
                <w:sz w:val="24"/>
              </w:rPr>
              <w:t>Зона лесов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17FC21A2" wp14:editId="3EA30B09">
                  <wp:extent cx="720090" cy="360045"/>
                  <wp:effectExtent l="0" t="0" r="0" b="0"/>
                  <wp:docPr id="10" name="Изображение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-581" t="-1130" r="-581" b="-1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D6D" w:rsidTr="00A70F24">
        <w:trPr>
          <w:trHeight w:val="68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sz w:val="24"/>
                <w:szCs w:val="24"/>
              </w:rPr>
              <w:t>701011000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0"/>
              <w:widowControl w:val="0"/>
              <w:rPr>
                <w:sz w:val="24"/>
              </w:rPr>
            </w:pPr>
            <w:r>
              <w:rPr>
                <w:sz w:val="24"/>
              </w:rPr>
              <w:t>Иные зоны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58035A2A" wp14:editId="13A6D813">
                  <wp:extent cx="720090" cy="360045"/>
                  <wp:effectExtent l="0" t="0" r="0" b="0"/>
                  <wp:docPr id="11" name="Изображение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-581" t="-1130" r="-581" b="-1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D6D" w:rsidTr="00A70F24">
        <w:trPr>
          <w:trHeight w:val="68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sz w:val="24"/>
                <w:szCs w:val="24"/>
              </w:rPr>
              <w:t>7010107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0"/>
              <w:widowControl w:val="0"/>
              <w:rPr>
                <w:sz w:val="24"/>
              </w:rPr>
            </w:pPr>
            <w:r>
              <w:rPr>
                <w:sz w:val="24"/>
              </w:rPr>
              <w:t>Зона кладбищ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7C5D6D" w:rsidRDefault="00BE593E">
            <w:pPr>
              <w:pStyle w:val="11"/>
              <w:widowControl w:val="0"/>
            </w:pPr>
            <w:r>
              <w:rPr>
                <w:noProof/>
                <w:lang w:eastAsia="ru-RU"/>
              </w:rPr>
              <w:drawing>
                <wp:inline distT="0" distB="0" distL="0" distR="0" wp14:anchorId="51692339" wp14:editId="49792789">
                  <wp:extent cx="720090" cy="360045"/>
                  <wp:effectExtent l="0" t="0" r="0" b="0"/>
                  <wp:docPr id="12" name="Изображение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-581" t="-1130" r="-581" b="-1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D6D" w:rsidRDefault="007C5D6D">
      <w:pPr>
        <w:pStyle w:val="11"/>
        <w:rPr>
          <w:sz w:val="28"/>
          <w:szCs w:val="28"/>
          <w:lang w:eastAsia="ar-SA"/>
        </w:rPr>
      </w:pPr>
    </w:p>
    <w:p w:rsidR="007C5D6D" w:rsidRDefault="00BE593E" w:rsidP="00C60BBC">
      <w:pPr>
        <w:pStyle w:val="11"/>
        <w:ind w:firstLine="73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генеральном плане муниципального образования - </w:t>
      </w:r>
      <w:proofErr w:type="spellStart"/>
      <w:r>
        <w:rPr>
          <w:sz w:val="28"/>
          <w:szCs w:val="28"/>
          <w:lang w:eastAsia="ar-SA"/>
        </w:rPr>
        <w:t>Лакашинское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 Спасского муниципального района Рязанской области выделены следующие функциональные зоны, для которых определены площади соответствующего функционального назначения:</w:t>
      </w:r>
    </w:p>
    <w:p w:rsidR="00C60BBC" w:rsidRPr="00C60BBC" w:rsidRDefault="00C60BBC" w:rsidP="00C60BBC">
      <w:pPr>
        <w:pStyle w:val="11"/>
        <w:ind w:firstLine="737"/>
        <w:jc w:val="both"/>
        <w:rPr>
          <w:sz w:val="28"/>
          <w:szCs w:val="28"/>
          <w:lang w:eastAsia="ar-SA"/>
        </w:rPr>
      </w:pPr>
    </w:p>
    <w:tbl>
      <w:tblPr>
        <w:tblW w:w="100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51"/>
        <w:gridCol w:w="6671"/>
        <w:gridCol w:w="2090"/>
      </w:tblGrid>
      <w:tr w:rsidR="007C5D6D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зоны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Площадь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га</w:t>
            </w:r>
            <w:proofErr w:type="spellEnd"/>
          </w:p>
        </w:tc>
      </w:tr>
      <w:tr w:rsidR="007C5D6D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D" w:rsidRDefault="00BE593E">
            <w:pPr>
              <w:pStyle w:val="110"/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Зона застройки индивидуальными жилыми домами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</w:pPr>
            <w:r>
              <w:t>60</w:t>
            </w:r>
            <w:r>
              <w:rPr>
                <w:rFonts w:eastAsia="Times New Roman" w:cs="Times New Roman"/>
                <w:kern w:val="0"/>
                <w:lang w:bidi="ar-SA"/>
              </w:rPr>
              <w:t>2</w:t>
            </w:r>
            <w:r>
              <w:t>,</w:t>
            </w:r>
            <w:r>
              <w:rPr>
                <w:rFonts w:eastAsia="Times New Roman" w:cs="Times New Roman"/>
                <w:kern w:val="0"/>
                <w:lang w:bidi="ar-SA"/>
              </w:rPr>
              <w:t>04</w:t>
            </w:r>
          </w:p>
        </w:tc>
      </w:tr>
      <w:tr w:rsidR="007C5D6D"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</w:pPr>
            <w:r>
              <w:t>2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D" w:rsidRDefault="00BE593E">
            <w:pPr>
              <w:pStyle w:val="110"/>
              <w:widowControl w:val="0"/>
              <w:spacing w:before="100" w:after="100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 xml:space="preserve">Зона застройки малоэтажными жилыми домами (до 4 </w:t>
            </w:r>
            <w:proofErr w:type="spellStart"/>
            <w:r>
              <w:rPr>
                <w:color w:val="000000"/>
                <w:sz w:val="24"/>
                <w:lang w:eastAsia="ar-SA"/>
              </w:rPr>
              <w:t>эт</w:t>
            </w:r>
            <w:proofErr w:type="spellEnd"/>
            <w:r>
              <w:rPr>
                <w:color w:val="000000"/>
                <w:sz w:val="24"/>
                <w:lang w:eastAsia="ar-SA"/>
              </w:rPr>
              <w:t xml:space="preserve">., включая </w:t>
            </w:r>
            <w:proofErr w:type="gramStart"/>
            <w:r>
              <w:rPr>
                <w:color w:val="000000"/>
                <w:sz w:val="24"/>
                <w:lang w:eastAsia="ar-SA"/>
              </w:rPr>
              <w:t>мансардный</w:t>
            </w:r>
            <w:proofErr w:type="gramEnd"/>
            <w:r>
              <w:rPr>
                <w:color w:val="000000"/>
                <w:sz w:val="24"/>
                <w:lang w:eastAsia="ar-SA"/>
              </w:rPr>
              <w:t>)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napToGrid w:val="0"/>
              <w:spacing w:before="100" w:after="100"/>
              <w:jc w:val="center"/>
            </w:pPr>
            <w:r>
              <w:t>2,64</w:t>
            </w:r>
          </w:p>
        </w:tc>
      </w:tr>
      <w:tr w:rsidR="007C5D6D"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  <w:rPr>
                <w:rFonts w:eastAsia="Times New Roman" w:cs="Times New Roman"/>
                <w:kern w:val="0"/>
                <w:szCs w:val="20"/>
                <w:lang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  <w:t>3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D" w:rsidRDefault="00BE593E">
            <w:pPr>
              <w:widowControl w:val="0"/>
              <w:spacing w:before="100" w:after="100"/>
              <w:rPr>
                <w:rFonts w:eastAsia="Times New Roman" w:cs="Times New Roman"/>
                <w:color w:val="000000"/>
                <w:lang w:eastAsia="ar-SA" w:bidi="ar-SA"/>
              </w:rPr>
            </w:pPr>
            <w:r>
              <w:rPr>
                <w:rFonts w:eastAsia="Times New Roman" w:cs="Times New Roman"/>
                <w:color w:val="000000"/>
                <w:lang w:eastAsia="ar-SA" w:bidi="ar-SA"/>
              </w:rPr>
              <w:t>Многофункциональная общественно-деловая зона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napToGrid w:val="0"/>
              <w:spacing w:before="100" w:after="100"/>
              <w:jc w:val="center"/>
            </w:pPr>
            <w:r>
              <w:t>1,4</w:t>
            </w:r>
          </w:p>
        </w:tc>
      </w:tr>
      <w:tr w:rsidR="007C5D6D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D" w:rsidRDefault="00BE593E">
            <w:pPr>
              <w:pStyle w:val="110"/>
              <w:widowControl w:val="0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Зона специализированной общественной застройки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</w:pPr>
            <w:r>
              <w:t>2,46</w:t>
            </w:r>
          </w:p>
        </w:tc>
      </w:tr>
      <w:tr w:rsidR="007C5D6D"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5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D" w:rsidRDefault="00BE593E">
            <w:pPr>
              <w:widowControl w:val="0"/>
              <w:spacing w:before="100" w:after="100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Производственная зона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napToGrid w:val="0"/>
              <w:spacing w:before="100" w:after="100"/>
              <w:jc w:val="center"/>
            </w:pPr>
            <w:r>
              <w:rPr>
                <w:rFonts w:eastAsia="Times New Roman" w:cs="Times New Roman"/>
                <w:kern w:val="0"/>
                <w:lang w:bidi="ar-SA"/>
              </w:rPr>
              <w:t>379</w:t>
            </w:r>
            <w:r>
              <w:t>,17</w:t>
            </w:r>
          </w:p>
        </w:tc>
      </w:tr>
      <w:tr w:rsidR="007C5D6D"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6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D" w:rsidRDefault="00BE593E">
            <w:pPr>
              <w:widowControl w:val="0"/>
              <w:spacing w:before="100" w:after="100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Зона транспортной инфраструктуры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napToGrid w:val="0"/>
              <w:spacing w:before="100" w:after="100"/>
              <w:jc w:val="center"/>
            </w:pPr>
            <w:r>
              <w:t>33,48</w:t>
            </w:r>
          </w:p>
        </w:tc>
      </w:tr>
      <w:tr w:rsidR="007C5D6D"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7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D" w:rsidRDefault="00BE593E">
            <w:pPr>
              <w:pStyle w:val="110"/>
              <w:widowControl w:val="0"/>
              <w:spacing w:before="100" w:after="100" w:line="335" w:lineRule="atLeast"/>
              <w:ind w:right="60"/>
            </w:pPr>
            <w:r>
              <w:rPr>
                <w:color w:val="000000"/>
                <w:sz w:val="24"/>
                <w:lang w:eastAsia="ar-SA"/>
              </w:rPr>
              <w:t>Зона сельскохозяйственных угодий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napToGrid w:val="0"/>
              <w:spacing w:before="100" w:after="100"/>
              <w:jc w:val="center"/>
            </w:pPr>
            <w:r>
              <w:t>13</w:t>
            </w:r>
            <w:r>
              <w:rPr>
                <w:rFonts w:eastAsia="Times New Roman" w:cs="Times New Roman"/>
                <w:color w:val="000000"/>
                <w:kern w:val="0"/>
                <w:lang w:bidi="ar-SA"/>
              </w:rPr>
              <w:t>900</w:t>
            </w:r>
            <w:r>
              <w:t>,</w:t>
            </w:r>
            <w:r>
              <w:rPr>
                <w:rFonts w:eastAsia="Times New Roman" w:cs="Times New Roman"/>
                <w:color w:val="000000"/>
                <w:kern w:val="0"/>
                <w:lang w:bidi="ar-SA"/>
              </w:rPr>
              <w:t>61</w:t>
            </w:r>
          </w:p>
        </w:tc>
      </w:tr>
      <w:tr w:rsidR="007C5D6D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D" w:rsidRDefault="00BE593E">
            <w:pPr>
              <w:pStyle w:val="110"/>
              <w:widowControl w:val="0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Производственная зона сельскохозяйственных предприятий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</w:pPr>
            <w:r>
              <w:t>25,90</w:t>
            </w:r>
          </w:p>
        </w:tc>
      </w:tr>
      <w:tr w:rsidR="007C5D6D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lastRenderedPageBreak/>
              <w:t>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D" w:rsidRDefault="00BE593E">
            <w:pPr>
              <w:pStyle w:val="110"/>
              <w:widowControl w:val="0"/>
            </w:pPr>
            <w:r>
              <w:rPr>
                <w:color w:val="000000"/>
                <w:sz w:val="24"/>
              </w:rPr>
              <w:t xml:space="preserve">Зона озелененных территорий общего пользования (лесопарки, парки, сады, скверы, бульвары, городские леса)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</w:pPr>
            <w:r>
              <w:t>8,85</w:t>
            </w:r>
          </w:p>
        </w:tc>
      </w:tr>
      <w:tr w:rsidR="007C5D6D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>
              <w:rPr>
                <w:rFonts w:eastAsia="Times New Roman" w:cs="Times New Roman"/>
                <w:kern w:val="0"/>
                <w:lang w:bidi="ar-SA"/>
              </w:rPr>
              <w:t>10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D" w:rsidRDefault="00BE593E">
            <w:pPr>
              <w:pStyle w:val="110"/>
              <w:widowControl w:val="0"/>
              <w:rPr>
                <w:sz w:val="24"/>
              </w:rPr>
            </w:pPr>
            <w:r>
              <w:rPr>
                <w:sz w:val="24"/>
              </w:rPr>
              <w:t>Зона лесов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pacing w:before="100" w:after="10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bidi="ar-SA"/>
              </w:rPr>
              <w:t>6958</w:t>
            </w:r>
            <w:r>
              <w:t>,46</w:t>
            </w:r>
          </w:p>
        </w:tc>
      </w:tr>
      <w:tr w:rsidR="007C5D6D"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napToGrid w:val="0"/>
              <w:spacing w:before="100" w:after="100"/>
              <w:jc w:val="center"/>
            </w:pPr>
            <w:r>
              <w:rPr>
                <w:rFonts w:eastAsia="Times New Roman" w:cs="Times New Roman"/>
                <w:kern w:val="0"/>
                <w:szCs w:val="20"/>
                <w:lang w:bidi="ar-SA"/>
              </w:rPr>
              <w:t>11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D" w:rsidRDefault="00BE593E">
            <w:pPr>
              <w:pStyle w:val="110"/>
              <w:widowControl w:val="0"/>
              <w:spacing w:before="100" w:after="100" w:line="335" w:lineRule="atLeast"/>
              <w:ind w:right="60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Зона кладбищ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napToGrid w:val="0"/>
              <w:spacing w:before="100" w:after="100"/>
              <w:jc w:val="center"/>
            </w:pPr>
            <w:r>
              <w:t>3,94</w:t>
            </w:r>
          </w:p>
        </w:tc>
      </w:tr>
      <w:tr w:rsidR="007C5D6D"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7C5D6D">
            <w:pPr>
              <w:widowControl w:val="0"/>
              <w:snapToGrid w:val="0"/>
              <w:spacing w:before="100" w:after="100"/>
              <w:jc w:val="center"/>
              <w:rPr>
                <w:rFonts w:eastAsia="Times New Roman" w:cs="Times New Roman"/>
                <w:color w:val="000000"/>
                <w:lang w:eastAsia="ar-SA" w:bidi="ar-SA"/>
              </w:rPr>
            </w:pP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D" w:rsidRDefault="00BE593E">
            <w:pPr>
              <w:pStyle w:val="110"/>
              <w:widowControl w:val="0"/>
            </w:pPr>
            <w:r>
              <w:rPr>
                <w:color w:val="000000"/>
                <w:sz w:val="24"/>
                <w:lang w:eastAsia="ar-SA"/>
              </w:rPr>
              <w:t>Общая площадь поселения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D" w:rsidRDefault="00BE593E">
            <w:pPr>
              <w:widowControl w:val="0"/>
              <w:snapToGrid w:val="0"/>
              <w:spacing w:before="100" w:after="10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bidi="ar-SA"/>
              </w:rPr>
              <w:t>21918</w:t>
            </w:r>
            <w:r>
              <w:t>,91</w:t>
            </w:r>
          </w:p>
        </w:tc>
      </w:tr>
    </w:tbl>
    <w:p w:rsidR="007C5D6D" w:rsidRDefault="00BE593E">
      <w:pPr>
        <w:pStyle w:val="2"/>
        <w:rPr>
          <w:b w:val="0"/>
          <w:color w:val="000000"/>
          <w:lang w:eastAsia="ar-SA" w:bidi="ar-SA"/>
        </w:rPr>
      </w:pPr>
      <w:r>
        <w:rPr>
          <w:b w:val="0"/>
          <w:color w:val="000000"/>
          <w:lang w:eastAsia="ar-SA" w:bidi="ar-SA"/>
        </w:rPr>
        <w:t xml:space="preserve">Сведения о планируемых для размещения в зонах объектах федерального </w:t>
      </w:r>
      <w:r w:rsidR="00494FD9">
        <w:rPr>
          <w:b w:val="0"/>
          <w:color w:val="000000"/>
          <w:lang w:eastAsia="ar-SA" w:bidi="ar-SA"/>
        </w:rPr>
        <w:br/>
      </w:r>
      <w:r>
        <w:rPr>
          <w:b w:val="0"/>
          <w:color w:val="000000"/>
          <w:lang w:eastAsia="ar-SA" w:bidi="ar-SA"/>
        </w:rPr>
        <w:t>и регионального значения, объектах местного значения.</w:t>
      </w:r>
    </w:p>
    <w:p w:rsidR="007C5D6D" w:rsidRDefault="00494FD9" w:rsidP="006777E8">
      <w:pPr>
        <w:widowControl w:val="0"/>
        <w:suppressAutoHyphens w:val="0"/>
        <w:spacing w:before="100" w:after="100"/>
        <w:ind w:firstLine="680"/>
        <w:jc w:val="both"/>
      </w:pPr>
      <w:r>
        <w:rPr>
          <w:color w:val="000000"/>
          <w:sz w:val="28"/>
          <w:szCs w:val="28"/>
          <w:lang w:eastAsia="ar-SA" w:bidi="ar-SA"/>
        </w:rPr>
        <w:t>В</w:t>
      </w:r>
      <w:r w:rsidR="00BE593E">
        <w:rPr>
          <w:color w:val="000000"/>
          <w:sz w:val="28"/>
          <w:szCs w:val="28"/>
          <w:lang w:eastAsia="ar-SA" w:bidi="ar-SA"/>
        </w:rPr>
        <w:t xml:space="preserve"> 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>документа</w:t>
      </w:r>
      <w:r w:rsidR="00BE593E">
        <w:rPr>
          <w:rStyle w:val="-"/>
          <w:color w:val="000000"/>
          <w:sz w:val="28"/>
          <w:szCs w:val="28"/>
          <w:u w:val="none"/>
        </w:rPr>
        <w:t>х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 xml:space="preserve"> территориального </w:t>
      </w:r>
      <w:r w:rsidR="00797184">
        <w:rPr>
          <w:rStyle w:val="-"/>
          <w:color w:val="000000"/>
          <w:sz w:val="28"/>
          <w:szCs w:val="28"/>
          <w:u w:val="none"/>
          <w:lang w:bidi="ar-SA"/>
        </w:rPr>
        <w:t xml:space="preserve">планирования Рязанской области 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>разм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>е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>щени</w:t>
      </w:r>
      <w:r w:rsidR="00BE593E">
        <w:rPr>
          <w:rStyle w:val="-"/>
          <w:rFonts w:eastAsia="Times New Roman"/>
          <w:color w:val="000000"/>
          <w:sz w:val="28"/>
          <w:szCs w:val="28"/>
          <w:u w:val="none"/>
          <w:lang w:eastAsia="ar-SA"/>
        </w:rPr>
        <w:t>е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 xml:space="preserve"> объектов </w:t>
      </w:r>
      <w:r w:rsidR="00BE593E">
        <w:rPr>
          <w:color w:val="000000"/>
          <w:sz w:val="28"/>
          <w:szCs w:val="28"/>
          <w:lang w:bidi="ar-SA"/>
        </w:rPr>
        <w:t>федерального и регионального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 xml:space="preserve"> значения на территории мун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>и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 xml:space="preserve">ципального образования – </w:t>
      </w:r>
      <w:proofErr w:type="spellStart"/>
      <w:r w:rsidR="00BE593E">
        <w:rPr>
          <w:rStyle w:val="-"/>
          <w:rFonts w:eastAsia="Times New Roman" w:cs="Times New Roman"/>
          <w:color w:val="000000"/>
          <w:sz w:val="28"/>
          <w:szCs w:val="28"/>
          <w:u w:val="none"/>
          <w:lang w:eastAsia="ar-SA" w:bidi="ar-SA"/>
        </w:rPr>
        <w:t>Лакашинское</w:t>
      </w:r>
      <w:proofErr w:type="spellEnd"/>
      <w:r w:rsidR="00BE593E">
        <w:rPr>
          <w:rStyle w:val="-"/>
          <w:color w:val="000000"/>
          <w:sz w:val="28"/>
          <w:szCs w:val="28"/>
          <w:u w:val="none"/>
          <w:lang w:bidi="ar-SA"/>
        </w:rPr>
        <w:t xml:space="preserve"> сельское поселение </w:t>
      </w:r>
      <w:r w:rsidR="00BE593E">
        <w:rPr>
          <w:rStyle w:val="-"/>
          <w:rFonts w:eastAsia="Times New Roman" w:cs="Times New Roman"/>
          <w:color w:val="000000"/>
          <w:sz w:val="28"/>
          <w:szCs w:val="28"/>
          <w:u w:val="none"/>
          <w:lang w:eastAsia="ar-SA" w:bidi="ar-SA"/>
        </w:rPr>
        <w:t>Спасского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 xml:space="preserve"> мун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>и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>ципального</w:t>
      </w:r>
      <w:r w:rsidR="00BE593E">
        <w:rPr>
          <w:rStyle w:val="-"/>
          <w:color w:val="000000"/>
          <w:sz w:val="28"/>
          <w:szCs w:val="28"/>
          <w:u w:val="none"/>
          <w:lang w:eastAsia="ar-SA" w:bidi="ar-SA"/>
        </w:rPr>
        <w:t xml:space="preserve"> образования Рязанской области</w:t>
      </w:r>
      <w:r w:rsidR="00797184">
        <w:rPr>
          <w:rStyle w:val="-"/>
          <w:color w:val="000000"/>
          <w:sz w:val="28"/>
          <w:szCs w:val="28"/>
          <w:u w:val="none"/>
          <w:lang w:bidi="ar-SA"/>
        </w:rPr>
        <w:t xml:space="preserve"> в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 xml:space="preserve"> </w:t>
      </w:r>
      <w:r w:rsidR="00BE593E">
        <w:rPr>
          <w:rStyle w:val="-"/>
          <w:rFonts w:eastAsia="Times New Roman"/>
          <w:color w:val="000000"/>
          <w:sz w:val="28"/>
          <w:szCs w:val="28"/>
          <w:u w:val="none"/>
          <w:lang w:eastAsia="ar-SA"/>
        </w:rPr>
        <w:t xml:space="preserve">расчетный срок Генерального плана </w:t>
      </w:r>
      <w:r w:rsidR="00BE593E">
        <w:rPr>
          <w:rStyle w:val="-"/>
          <w:color w:val="000000"/>
          <w:sz w:val="28"/>
          <w:szCs w:val="28"/>
          <w:u w:val="none"/>
        </w:rPr>
        <w:t>не предусмотрено</w:t>
      </w:r>
      <w:r w:rsidR="00BE593E">
        <w:rPr>
          <w:rStyle w:val="-"/>
          <w:color w:val="000000"/>
          <w:sz w:val="28"/>
          <w:szCs w:val="28"/>
          <w:u w:val="none"/>
          <w:lang w:bidi="ar-SA"/>
        </w:rPr>
        <w:t>.</w:t>
      </w:r>
    </w:p>
    <w:sectPr w:rsidR="007C5D6D">
      <w:headerReference w:type="default" r:id="rId20"/>
      <w:pgSz w:w="11906" w:h="16838"/>
      <w:pgMar w:top="1693" w:right="1134" w:bottom="1134" w:left="1134" w:header="113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96" w:rsidRDefault="007C6796">
      <w:r>
        <w:separator/>
      </w:r>
    </w:p>
  </w:endnote>
  <w:endnote w:type="continuationSeparator" w:id="0">
    <w:p w:rsidR="007C6796" w:rsidRDefault="007C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96" w:rsidRDefault="007C6796">
      <w:r>
        <w:separator/>
      </w:r>
    </w:p>
  </w:footnote>
  <w:footnote w:type="continuationSeparator" w:id="0">
    <w:p w:rsidR="007C6796" w:rsidRDefault="007C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6D" w:rsidRDefault="00BE593E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383F00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19D"/>
    <w:multiLevelType w:val="multilevel"/>
    <w:tmpl w:val="55227D6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5D6D"/>
    <w:rsid w:val="000F09D3"/>
    <w:rsid w:val="00383F00"/>
    <w:rsid w:val="00494FD9"/>
    <w:rsid w:val="004E6036"/>
    <w:rsid w:val="00504F42"/>
    <w:rsid w:val="00537798"/>
    <w:rsid w:val="006777E8"/>
    <w:rsid w:val="00731C4A"/>
    <w:rsid w:val="00797184"/>
    <w:rsid w:val="007C5D6D"/>
    <w:rsid w:val="007C6796"/>
    <w:rsid w:val="00A519C9"/>
    <w:rsid w:val="00A70F24"/>
    <w:rsid w:val="00B24F10"/>
    <w:rsid w:val="00BE593E"/>
    <w:rsid w:val="00C60BBC"/>
    <w:rsid w:val="00D1585E"/>
    <w:rsid w:val="00EE4FA0"/>
    <w:rsid w:val="00F3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100"/>
      <w:ind w:firstLine="567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textAlignment w:val="baseline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20">
    <w:name w:val="toc 2"/>
    <w:basedOn w:val="a"/>
    <w:next w:val="a"/>
    <w:pPr>
      <w:suppressLineNumbers/>
      <w:tabs>
        <w:tab w:val="right" w:leader="dot" w:pos="10062"/>
      </w:tabs>
      <w:spacing w:line="276" w:lineRule="auto"/>
    </w:pPr>
    <w:rPr>
      <w:sz w:val="28"/>
      <w:szCs w:val="28"/>
    </w:rPr>
  </w:style>
  <w:style w:type="paragraph" w:customStyle="1" w:styleId="a9">
    <w:name w:val="Таблица_название_таблицы"/>
    <w:next w:val="a"/>
    <w:qFormat/>
    <w:pPr>
      <w:keepNext/>
      <w:spacing w:before="60" w:after="60"/>
      <w:jc w:val="center"/>
    </w:pPr>
    <w:rPr>
      <w:rFonts w:eastAsia="Times New Roman" w:cs="Times New Roman"/>
      <w:b/>
      <w:bCs/>
      <w:kern w:val="0"/>
      <w:sz w:val="22"/>
      <w:szCs w:val="22"/>
      <w:lang w:bidi="ar-SA"/>
    </w:rPr>
  </w:style>
  <w:style w:type="paragraph" w:customStyle="1" w:styleId="11">
    <w:name w:val="Табличный_таблица_11"/>
    <w:qFormat/>
    <w:pPr>
      <w:jc w:val="center"/>
    </w:pPr>
    <w:rPr>
      <w:rFonts w:eastAsia="Times New Roman" w:cs="Times New Roman"/>
      <w:kern w:val="0"/>
      <w:sz w:val="22"/>
      <w:szCs w:val="22"/>
      <w:lang w:bidi="ar-SA"/>
    </w:rPr>
  </w:style>
  <w:style w:type="paragraph" w:customStyle="1" w:styleId="110">
    <w:name w:val="Табличный_боковик_11"/>
    <w:qFormat/>
    <w:rPr>
      <w:rFonts w:eastAsia="Times New Roman" w:cs="Times New Roman"/>
      <w:kern w:val="0"/>
      <w:sz w:val="22"/>
      <w:lang w:bidi="ar-SA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</w:style>
  <w:style w:type="paragraph" w:styleId="ac">
    <w:name w:val="Balloon Text"/>
    <w:basedOn w:val="a"/>
    <w:link w:val="ad"/>
    <w:uiPriority w:val="99"/>
    <w:semiHidden/>
    <w:unhideWhenUsed/>
    <w:rsid w:val="00537798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3779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100"/>
      <w:ind w:firstLine="567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textAlignment w:val="baseline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20">
    <w:name w:val="toc 2"/>
    <w:basedOn w:val="a"/>
    <w:next w:val="a"/>
    <w:pPr>
      <w:suppressLineNumbers/>
      <w:tabs>
        <w:tab w:val="right" w:leader="dot" w:pos="10062"/>
      </w:tabs>
      <w:spacing w:line="276" w:lineRule="auto"/>
    </w:pPr>
    <w:rPr>
      <w:sz w:val="28"/>
      <w:szCs w:val="28"/>
    </w:rPr>
  </w:style>
  <w:style w:type="paragraph" w:customStyle="1" w:styleId="a9">
    <w:name w:val="Таблица_название_таблицы"/>
    <w:next w:val="a"/>
    <w:qFormat/>
    <w:pPr>
      <w:keepNext/>
      <w:spacing w:before="60" w:after="60"/>
      <w:jc w:val="center"/>
    </w:pPr>
    <w:rPr>
      <w:rFonts w:eastAsia="Times New Roman" w:cs="Times New Roman"/>
      <w:b/>
      <w:bCs/>
      <w:kern w:val="0"/>
      <w:sz w:val="22"/>
      <w:szCs w:val="22"/>
      <w:lang w:bidi="ar-SA"/>
    </w:rPr>
  </w:style>
  <w:style w:type="paragraph" w:customStyle="1" w:styleId="11">
    <w:name w:val="Табличный_таблица_11"/>
    <w:qFormat/>
    <w:pPr>
      <w:jc w:val="center"/>
    </w:pPr>
    <w:rPr>
      <w:rFonts w:eastAsia="Times New Roman" w:cs="Times New Roman"/>
      <w:kern w:val="0"/>
      <w:sz w:val="22"/>
      <w:szCs w:val="22"/>
      <w:lang w:bidi="ar-SA"/>
    </w:rPr>
  </w:style>
  <w:style w:type="paragraph" w:customStyle="1" w:styleId="110">
    <w:name w:val="Табличный_боковик_11"/>
    <w:qFormat/>
    <w:rPr>
      <w:rFonts w:eastAsia="Times New Roman" w:cs="Times New Roman"/>
      <w:kern w:val="0"/>
      <w:sz w:val="22"/>
      <w:lang w:bidi="ar-SA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</w:style>
  <w:style w:type="paragraph" w:styleId="ac">
    <w:name w:val="Balloon Text"/>
    <w:basedOn w:val="a"/>
    <w:link w:val="ad"/>
    <w:uiPriority w:val="99"/>
    <w:semiHidden/>
    <w:unhideWhenUsed/>
    <w:rsid w:val="00537798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53779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20</cp:revision>
  <cp:lastPrinted>2021-11-30T14:17:00Z</cp:lastPrinted>
  <dcterms:created xsi:type="dcterms:W3CDTF">2021-11-08T17:58:00Z</dcterms:created>
  <dcterms:modified xsi:type="dcterms:W3CDTF">2021-11-30T14:40:00Z</dcterms:modified>
  <dc:language>ru-RU</dc:language>
</cp:coreProperties>
</file>