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540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Агломазово, микрорайон,</w:t>
        <w:br/>
        <w:t>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Агломазово, микрорайон, 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23.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д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Колдамышево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при въезде в населенный пункт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15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д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Теньсюпино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при въезде в населенный пункт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20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д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Хрущево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при въезде в населенный пункт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7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5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Ернеево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при въезде в населенный пункт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0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5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1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05;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, д. Лотказино (при въезде в населенный пункт) с 11:15 до 11:25;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,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 с. Усады (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ориентир автобусная остановка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) с 11:28 до 11:45;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, с. Раково (при въезде в населенный пункт) с 11:50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, д. Усеиново (при въезде в населенный пункт) с 12:10 до 12:20;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Сасовский район</w:t>
      </w:r>
      <w:r>
        <w:rPr>
          <w:rFonts w:eastAsia="PT Astra Serif"/>
          <w:b w:val="false"/>
          <w:bCs w:val="false"/>
          <w:color w:val="000000"/>
          <w:sz w:val="28"/>
          <w:szCs w:val="28"/>
          <w:highlight w:val="white"/>
          <w:u w:val="none"/>
          <w:lang w:eastAsia="ar-SA"/>
        </w:rPr>
        <w:t>, с. Агломазово (здание администрации) с 12:30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Сасовский район, с. Агломазово, микрорайон, д. 10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(здание администрации)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971</TotalTime>
  <Application>LibreOffice/6.4.4.2$Linux_X86_64 LibreOffice_project/40$Build-2</Application>
  <Pages>3</Pages>
  <Words>815</Words>
  <Characters>5983</Characters>
  <CharactersWithSpaces>6807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2021-12-01T11:53:24Z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