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bookmarkStart w:id="0" w:name="__DdeLink__440_292928782"/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25 ноября</w:t>
      </w:r>
      <w:bookmarkStart w:id="1" w:name="_GoBack"/>
      <w:bookmarkEnd w:id="0"/>
      <w:bookmarkEnd w:id="1"/>
      <w:r>
        <w:rPr>
          <w:rFonts w:ascii="Times New Roman" w:hAnsi="Times New Roman"/>
          <w:sz w:val="28"/>
          <w:szCs w:val="28"/>
        </w:rPr>
        <w:t xml:space="preserve"> 2021 г. № 137</w:t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 декабря 2018 г. № 387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>
      <w:pPr>
        <w:pStyle w:val="31"/>
        <w:ind w:right="0" w:firstLine="709"/>
        <w:jc w:val="center"/>
        <w:rPr>
          <w:sz w:val="20"/>
        </w:rPr>
      </w:pPr>
      <w:r>
        <w:rPr>
          <w:sz w:val="20"/>
        </w:rPr>
      </w:r>
    </w:p>
    <w:tbl>
      <w:tblPr>
        <w:tblW w:w="15264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8"/>
        <w:gridCol w:w="3152"/>
        <w:gridCol w:w="3260"/>
        <w:gridCol w:w="876"/>
        <w:gridCol w:w="4821"/>
        <w:gridCol w:w="2266"/>
      </w:tblGrid>
      <w:tr>
        <w:trPr>
          <w:trHeight w:val="249" w:hRule="atLeast"/>
        </w:trPr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>
        <w:trPr>
          <w:trHeight w:val="175" w:hRule="atLeast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31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 «Сапожковское ЖКХ»</w:t>
            </w:r>
          </w:p>
        </w:tc>
        <w:tc>
          <w:tcPr>
            <w:tcW w:w="11223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>
        <w:trPr>
          <w:trHeight w:val="285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1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1 969,09</w:t>
            </w:r>
          </w:p>
        </w:tc>
      </w:tr>
      <w:tr>
        <w:trPr>
          <w:trHeight w:val="285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1 983,92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1 983,92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2 008,34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2 008,34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2 135,67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2 135,67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2 300,66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2 300,66</w:t>
            </w:r>
          </w:p>
        </w:tc>
      </w:tr>
      <w:tr>
        <w:trPr>
          <w:trHeight w:val="24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2 401,54</w:t>
            </w:r>
          </w:p>
        </w:tc>
      </w:tr>
      <w:tr>
        <w:trPr>
          <w:trHeight w:val="207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2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>
        <w:trPr>
          <w:trHeight w:val="285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1 969,09</w:t>
            </w:r>
          </w:p>
        </w:tc>
      </w:tr>
      <w:tr>
        <w:trPr>
          <w:trHeight w:val="285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1 983,92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1 983,92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2 008,34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2 008,34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2 135,67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2 135,67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2 300,66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2 300,66</w:t>
            </w:r>
          </w:p>
        </w:tc>
      </w:tr>
      <w:tr>
        <w:trPr>
          <w:trHeight w:val="259" w:hRule="atLeast"/>
        </w:trPr>
        <w:tc>
          <w:tcPr>
            <w:tcW w:w="888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52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6" w:type="dxa"/>
            <w:tcBorders>
              <w:top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2 401,54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</w:t>
      </w:r>
    </w:p>
    <w:sectPr>
      <w:type w:val="nextPage"/>
      <w:pgSz w:orient="landscape" w:w="16838" w:h="11906"/>
      <w:pgMar w:left="851" w:right="851" w:header="0" w:top="1418" w:footer="0" w:bottom="284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tabs>
        <w:tab w:val="left" w:pos="0" w:leader="none"/>
      </w:tabs>
      <w:spacing w:lineRule="auto" w:line="288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tabs>
        <w:tab w:val="left" w:pos="0" w:leader="none"/>
      </w:tabs>
      <w:ind w:left="2124" w:hanging="0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tabs>
        <w:tab w:val="left" w:pos="0" w:leader="none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6c65ee"/>
    <w:rPr>
      <w:i/>
      <w:i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5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12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rsid w:val="0004601c"/>
    <w:pPr>
      <w:widowControl w:val="false"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04601c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4182-6360-4B99-9586-EB7EEEC5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LibreOffice/5.1.2.2$Windows_X86_64 LibreOffice_project/d3bf12ecb743fc0d20e0be0c58ca359301eb705f</Application>
  <Pages>2</Pages>
  <Words>335</Words>
  <Characters>1279</Characters>
  <CharactersWithSpaces>1545</CharactersWithSpaces>
  <Paragraphs>69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2021-09-10T12:27:00Z</dcterms:created>
  <dc:creator>Пользователь</dc:creator>
  <dc:description/>
  <dc:language>ru-RU</dc:language>
  <cp:lastModifiedBy/>
  <cp:lastPrinted>2017-06-01T12:28:00Z</cp:lastPrinted>
  <dcterms:modified xsi:type="dcterms:W3CDTF">2021-12-01T16:15:06Z</dcterms:modified>
  <cp:revision>7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