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6C" w:rsidRDefault="00BC6E21">
      <w:pPr>
        <w:spacing w:line="288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pt;height:78pt;visibility:visible;mso-wrap-style:square">
            <v:imagedata r:id="rId8" o:title="" croptop="-667f" cropbottom="-667f" cropleft="-706f" cropright="-706f"/>
          </v:shape>
        </w:pict>
      </w:r>
    </w:p>
    <w:p w:rsidR="008C146C" w:rsidRDefault="008C146C">
      <w:pPr>
        <w:spacing w:line="288" w:lineRule="auto"/>
        <w:jc w:val="center"/>
      </w:pPr>
    </w:p>
    <w:p w:rsidR="008C146C" w:rsidRDefault="004027D5">
      <w:pPr>
        <w:pStyle w:val="15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8C146C" w:rsidRDefault="004027D5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8C146C" w:rsidRDefault="008C146C">
      <w:pPr>
        <w:pStyle w:val="af6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8C146C" w:rsidRDefault="008C146C">
      <w:pPr>
        <w:spacing w:line="360" w:lineRule="auto"/>
        <w:jc w:val="center"/>
        <w:rPr>
          <w:b/>
          <w:iCs/>
          <w:sz w:val="32"/>
          <w:szCs w:val="32"/>
        </w:rPr>
      </w:pPr>
    </w:p>
    <w:p w:rsidR="008C146C" w:rsidRDefault="004027D5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8C146C" w:rsidRDefault="00FE1741">
      <w:pPr>
        <w:spacing w:line="360" w:lineRule="auto"/>
        <w:jc w:val="center"/>
      </w:pPr>
      <w:r>
        <w:rPr>
          <w:sz w:val="28"/>
          <w:szCs w:val="28"/>
        </w:rPr>
        <w:t>23 декабря</w:t>
      </w:r>
      <w:bookmarkStart w:id="0" w:name="_GoBack"/>
      <w:bookmarkEnd w:id="0"/>
      <w:r w:rsidR="004027D5">
        <w:rPr>
          <w:sz w:val="28"/>
          <w:szCs w:val="28"/>
        </w:rPr>
        <w:t xml:space="preserve"> 2021 г.</w:t>
      </w:r>
      <w:r w:rsidR="004027D5">
        <w:rPr>
          <w:sz w:val="28"/>
          <w:szCs w:val="28"/>
        </w:rPr>
        <w:tab/>
      </w:r>
      <w:r w:rsidR="004027D5">
        <w:rPr>
          <w:sz w:val="28"/>
          <w:szCs w:val="28"/>
        </w:rPr>
        <w:tab/>
      </w:r>
      <w:r w:rsidR="004027D5">
        <w:rPr>
          <w:sz w:val="28"/>
          <w:szCs w:val="28"/>
        </w:rPr>
        <w:tab/>
      </w:r>
      <w:r w:rsidR="004027D5">
        <w:rPr>
          <w:sz w:val="28"/>
          <w:szCs w:val="28"/>
        </w:rPr>
        <w:tab/>
      </w:r>
      <w:r w:rsidR="004027D5">
        <w:rPr>
          <w:sz w:val="28"/>
          <w:szCs w:val="28"/>
        </w:rPr>
        <w:tab/>
      </w:r>
      <w:r w:rsidR="004027D5">
        <w:rPr>
          <w:sz w:val="28"/>
          <w:szCs w:val="28"/>
        </w:rPr>
        <w:tab/>
      </w:r>
      <w:r w:rsidR="004027D5">
        <w:rPr>
          <w:sz w:val="28"/>
          <w:szCs w:val="28"/>
        </w:rPr>
        <w:tab/>
        <w:t xml:space="preserve">   </w:t>
      </w:r>
      <w:r w:rsidR="004027D5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633-п</w:t>
      </w:r>
    </w:p>
    <w:p w:rsidR="008C146C" w:rsidRDefault="008C146C">
      <w:pPr>
        <w:spacing w:line="360" w:lineRule="auto"/>
        <w:rPr>
          <w:b/>
          <w:sz w:val="28"/>
          <w:szCs w:val="28"/>
        </w:rPr>
      </w:pPr>
    </w:p>
    <w:p w:rsidR="008C146C" w:rsidRDefault="008C146C">
      <w:pPr>
        <w:spacing w:line="360" w:lineRule="auto"/>
        <w:rPr>
          <w:b/>
          <w:sz w:val="28"/>
          <w:szCs w:val="28"/>
        </w:rPr>
      </w:pPr>
    </w:p>
    <w:p w:rsidR="008C146C" w:rsidRDefault="004027D5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                 и градостроительства Рязанской области от 04.07.2019 № 48-п</w:t>
      </w:r>
    </w:p>
    <w:p w:rsidR="008C146C" w:rsidRDefault="004027D5">
      <w:pPr>
        <w:jc w:val="center"/>
      </w:pPr>
      <w:r>
        <w:rPr>
          <w:sz w:val="28"/>
          <w:szCs w:val="28"/>
        </w:rPr>
        <w:t>«Об утверждении административного регламента предоставления</w:t>
      </w:r>
    </w:p>
    <w:p w:rsidR="008C146C" w:rsidRDefault="004027D5">
      <w:pPr>
        <w:jc w:val="center"/>
      </w:pPr>
      <w:r>
        <w:rPr>
          <w:sz w:val="28"/>
          <w:szCs w:val="28"/>
        </w:rPr>
        <w:t>государственной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</w:t>
      </w:r>
    </w:p>
    <w:p w:rsidR="008C146C" w:rsidRDefault="008C146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C146C" w:rsidRDefault="008C146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C146C" w:rsidRDefault="004027D5">
      <w:pPr>
        <w:spacing w:line="57" w:lineRule="atLeast"/>
        <w:ind w:firstLine="737"/>
        <w:jc w:val="both"/>
        <w:rPr>
          <w:sz w:val="24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Правительства Рязанской области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eastAsia="Calibri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eastAsia="Calibri"/>
          <w:spacing w:val="2"/>
          <w:sz w:val="28"/>
          <w:szCs w:val="28"/>
          <w:lang w:eastAsia="en-US"/>
        </w:rPr>
        <w:t xml:space="preserve"> области»</w:t>
      </w:r>
      <w:r>
        <w:rPr>
          <w:sz w:val="28"/>
          <w:szCs w:val="28"/>
        </w:rPr>
        <w:t xml:space="preserve">, руководствуясь </w:t>
      </w:r>
      <w:hyperlink r:id="rId9">
        <w:r>
          <w:rPr>
            <w:rFonts w:eastAsia="Calibri"/>
            <w:color w:val="000000"/>
            <w:spacing w:val="2"/>
            <w:sz w:val="28"/>
            <w:szCs w:val="28"/>
            <w:lang w:eastAsia="en-US"/>
          </w:rPr>
          <w:t>постановлением</w:t>
        </w:r>
      </w:hyperlink>
      <w:r>
        <w:rPr>
          <w:rFonts w:eastAsia="Calibri"/>
          <w:spacing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главное управление архитектуры и градостроительства Рязанской области ПОСТАНОВЛЯЕТ: </w:t>
      </w:r>
    </w:p>
    <w:p w:rsidR="008C146C" w:rsidRDefault="004027D5">
      <w:pPr>
        <w:spacing w:line="57" w:lineRule="atLeast"/>
        <w:ind w:firstLine="737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1. Внести в приложение к постановлению главного управления архитектуры    и градостроительства Рязанской области от 04.07.2019 № 48-п «Об утверждении административного регламента предоставления государственной услуги «Предоставление сведений, документов и материалов, содержащихся                         в государственной информационной системе обеспечения градостроительной деятельности» </w:t>
      </w:r>
      <w:r>
        <w:rPr>
          <w:color w:val="000000"/>
          <w:sz w:val="28"/>
        </w:rPr>
        <w:t>(в редакции постановления Главархитектуры Рязанской области        от 27.01.2020 № 56-п)</w:t>
      </w:r>
      <w:r>
        <w:rPr>
          <w:sz w:val="28"/>
          <w:szCs w:val="28"/>
        </w:rPr>
        <w:t xml:space="preserve"> следующие изменения: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1) пункт 2.4 </w:t>
      </w:r>
      <w:r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редакции:</w:t>
      </w:r>
    </w:p>
    <w:p w:rsidR="008C146C" w:rsidRDefault="004027D5">
      <w:pPr>
        <w:ind w:firstLine="708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lastRenderedPageBreak/>
        <w:t>«2.4. Срок предоставления услуги:</w:t>
      </w:r>
    </w:p>
    <w:p w:rsidR="008C146C" w:rsidRDefault="004027D5">
      <w:pPr>
        <w:ind w:firstLine="708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- по заявлениям, направленным до 01.01.2022, не должен превышать               10 рабочих дней </w:t>
      </w:r>
      <w:proofErr w:type="gramStart"/>
      <w:r>
        <w:rPr>
          <w:color w:val="000000"/>
          <w:sz w:val="28"/>
          <w:highlight w:val="white"/>
        </w:rPr>
        <w:t>с даты представления</w:t>
      </w:r>
      <w:proofErr w:type="gramEnd"/>
      <w:r>
        <w:rPr>
          <w:color w:val="000000"/>
          <w:sz w:val="28"/>
          <w:highlight w:val="white"/>
        </w:rPr>
        <w:t xml:space="preserve"> документа, подтверждающего внесение платы за предоставление сведений, содержащихся в ИСОГД (в случае, если услуга является бесплатной, с даты регистрации заявления);</w:t>
      </w:r>
    </w:p>
    <w:p w:rsidR="008C146C" w:rsidRDefault="004027D5">
      <w:pPr>
        <w:ind w:firstLine="708"/>
        <w:jc w:val="both"/>
        <w:rPr>
          <w:highlight w:val="yellow"/>
        </w:rPr>
      </w:pPr>
      <w:r>
        <w:rPr>
          <w:color w:val="000000"/>
          <w:sz w:val="28"/>
          <w:highlight w:val="white"/>
        </w:rPr>
        <w:t>- по заявлениям, направленным после 01.01.2022, не должен превышать 5 рабочих дней с даты представления документа, подтверждающего внесение платы за предоставление сведений, содержащихся в ИСОГД (в случае, если услуга является бесплатной, с даты регистрации заявления)</w:t>
      </w:r>
      <w:proofErr w:type="gramStart"/>
      <w:r>
        <w:rPr>
          <w:color w:val="000000"/>
          <w:sz w:val="28"/>
          <w:highlight w:val="white"/>
        </w:rPr>
        <w:t>.»</w:t>
      </w:r>
      <w:proofErr w:type="gramEnd"/>
      <w:r>
        <w:rPr>
          <w:color w:val="000000"/>
          <w:sz w:val="28"/>
          <w:highlight w:val="white"/>
        </w:rPr>
        <w:t>;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2) пункт 2.6.1 изложить в новой редакции: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«2.6.1. Для предоставления услуги заявитель представляет </w:t>
      </w:r>
      <w:hyperlink r:id="rId10">
        <w:bookmarkStart w:id="1" w:name="r5"/>
        <w:bookmarkEnd w:id="1"/>
        <w:r>
          <w:rPr>
            <w:rFonts w:eastAsia="Calibri"/>
            <w:color w:val="000000"/>
            <w:sz w:val="28"/>
            <w:szCs w:val="28"/>
            <w:lang w:eastAsia="en-US"/>
          </w:rPr>
          <w:t>заявление</w:t>
        </w:r>
      </w:hyperlink>
      <w:r>
        <w:rPr>
          <w:rFonts w:eastAsia="Calibri"/>
          <w:sz w:val="28"/>
          <w:szCs w:val="28"/>
          <w:lang w:eastAsia="en-US"/>
        </w:rPr>
        <w:t xml:space="preserve">                 о предоставлении сведений, содержащихся в ИСОГД, оформленное в произвольной форме или по рекомендуемому образцу согласно приложению № 1                              к Административному регламенту. </w:t>
      </w:r>
      <w:proofErr w:type="gramStart"/>
      <w:r>
        <w:rPr>
          <w:rFonts w:eastAsia="Calibri"/>
          <w:sz w:val="28"/>
          <w:szCs w:val="28"/>
          <w:lang w:eastAsia="en-US"/>
        </w:rPr>
        <w:t>В заявлении указываются полные реквизиты заявителя, реквизиты необходимых сведений, документов, материалов                         и (или) указывается кадастровый номер (номера) земельного участка (участков),           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Единого государственного реестра недвижимости, форма предоставления сведений, содержащихся в ИСОГД, способ их доставки. В случае направления заявления в бумажной форме заявитель указывает адрес электронной почты, на который направляется уведомление об оплате предоставления сведений, содержащихся в ИСОГД.»;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3) изложить пункт 2.8.1 в новой редакции: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«2.8.1. Заявление подано в отношении сведений, содержащихся                          в ИСОГД, которые в соответствии с законодательством Российской Федерации содержат информацию, доступ к которой ограничен и заявитель не имеет права доступа к ней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4) дополнить пунктом 2.8.3 следующего содержания: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«2.8.3. Заявление не содержит информации, указанной в пункте 2.6.1 </w:t>
      </w:r>
      <w:bookmarkStart w:id="2" w:name="r7"/>
      <w:bookmarkEnd w:id="2"/>
      <w:r>
        <w:rPr>
          <w:rFonts w:eastAsia="Calibri"/>
          <w:sz w:val="28"/>
          <w:szCs w:val="28"/>
          <w:lang w:eastAsia="en-US"/>
        </w:rPr>
        <w:t>Административного регламента</w:t>
      </w:r>
      <w:proofErr w:type="gramStart"/>
      <w:r>
        <w:rPr>
          <w:rFonts w:eastAsia="Calibri"/>
          <w:sz w:val="28"/>
          <w:szCs w:val="28"/>
          <w:lang w:eastAsia="en-US"/>
        </w:rPr>
        <w:t>;»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5) пункт 2.8.3 считать пунктом 2.8.4 и изложить его в новой редакции:</w:t>
      </w:r>
    </w:p>
    <w:p w:rsidR="008C146C" w:rsidRDefault="004027D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«2.8.4. По истечении 7 рабочих дней со дня направления заявителю уведомления об оплате предоставления сведений, содержащихся в ИСОГД, информация об осуществлении заявителем оплаты предоставления сведений, содержащихся в ИСОГД, у Учреждения отсутствует или оплата предоставления сведений, содержащихся в ИСОГД, осуществлена не в полном объеме»;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6) в пункте 2.10 слова «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hyperlink r:id="rId11">
        <w:r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остановлением</w:t>
        </w:r>
        <w:proofErr w:type="gramEnd"/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РФ от 09.06.2006         № 363 «Об информационном обеспечении градостроительной деятельности» заменить словами «п</w:t>
      </w:r>
      <w:hyperlink r:id="rId12">
        <w:r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остановлением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Правительства РФ от 13.03.2020 № 279            «Об информационном обеспечении градостроительной деятельности»;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7) пункт 2.10.2 изложить в новой редакции: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«2.10.2. Оплата предоставления сведений, содержащихся в ИСОГД,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осуществляется заявителем путём безналичного расчёта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.»;</w:t>
      </w:r>
      <w:proofErr w:type="gramEnd"/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8) пункт 2.10.3 изложить в новой редакции: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«2.10.3. Если плата за предоставление сведений, содержащихся в ИСОГД, внесена заявителем в размере, превышающем общий размер платы, начисленной          за предоставление сведений, содержащихся в ИСОГД, Учреждение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8C146C" w:rsidRDefault="004027D5">
      <w:pPr>
        <w:pStyle w:val="ConsPlusNormal"/>
        <w:ind w:firstLine="737"/>
        <w:jc w:val="both"/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Если заявителю было отказано в предоставлении сведений, содержащихся       в ИСОГД, по основанию, указанному в </w:t>
      </w:r>
      <w:hyperlink r:id="rId13">
        <w:r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пункте 2.8.4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в связи с внесением платы за предоставление сведений, содержащихся в ИСОГД,    не в полном объеме, Учреждение по заявлению заявителя в срок не позднее              3 месяцев со дня поступления такого запроса обеспечивает возврат уплаченных средств.»;</w:t>
      </w:r>
      <w:proofErr w:type="gramEnd"/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9) изложить подпункт «а» пункта 3.4.2 в новой редакции:</w:t>
      </w:r>
    </w:p>
    <w:p w:rsidR="008C146C" w:rsidRDefault="004027D5">
      <w:pPr>
        <w:pStyle w:val="ConsPlusNormal"/>
        <w:ind w:firstLine="73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«а) регистрирует заявление в Реестре предоставления сведений, содержащихся в ИСОГД, в день получения либо на следующий рабочий день            в случае его получения после 16 часов текущего рабочего дня или в выходной (праздничный) день, а также в системе электронного документооборота            (далее - СЭД) в порядке внутреннего делопроизводства;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»;</w:t>
      </w:r>
      <w:proofErr w:type="gramEnd"/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10) абзац 4 пункта 3.4.3 изложить в новой редакции:</w:t>
      </w:r>
    </w:p>
    <w:p w:rsidR="008C146C" w:rsidRDefault="004027D5">
      <w:pPr>
        <w:pStyle w:val="ConsPlusNormal"/>
        <w:ind w:firstLine="737"/>
        <w:jc w:val="both"/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«- при отсутствии оснований для отказа в предоставлении услуги, предусмотренных пунктами 2.8.1, 2.8.2, 2.8.3 Административного регламента, должностное лицо, ответственное за подготовку ответа, уведомляет заявителя         по адресу электронной почты, указанному в заявлении, или в личный кабинет заявителя на Портале о необходимости внесения платы (в случае предоставления сведений, содержащихся в ИСОГД, за плату), с указанием сведения об общем размере платы, расчете и сроках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оплаты (с приложением в электронной форме документов (квитанции с реквизитами), необходимых для оплаты)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.»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11) пункт 3.4.3.1 исключить;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12) в пункте 3.5.1 после слов «предусмотренных пунктами 2.8.1, 2.8.2» дополнить цифрами «, 2.8.3»;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13) </w:t>
      </w:r>
      <w:r>
        <w:rPr>
          <w:rFonts w:ascii="Times New Roman" w:eastAsia="Calibri" w:hAnsi="Times New Roman"/>
          <w:sz w:val="28"/>
          <w:szCs w:val="28"/>
          <w:lang w:eastAsia="en-US"/>
        </w:rPr>
        <w:t>в пункте 3.5.9 слова «5 рабочих дней» заменить словами «3 рабочих дня»;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14)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3.6.2 слова «пунктом 2.8.3» заменить словами «пунктом 2.8.4»;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15) в пункте 3.6.11 слова «3 рабочих дня» заменить словами «2 рабочих дня»;</w:t>
      </w:r>
    </w:p>
    <w:p w:rsidR="008C146C" w:rsidRDefault="004027D5">
      <w:pPr>
        <w:pStyle w:val="ConsPlusNormal"/>
        <w:ind w:firstLine="73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16) приложение № 1 к административному регламенту изложить в новой редакции согласно приложению к настоящему постановлению;</w:t>
      </w:r>
    </w:p>
    <w:p w:rsidR="008C146C" w:rsidRDefault="004027D5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17) абзац 1 пункта 5.1. изложить в новой редакции:</w:t>
      </w:r>
    </w:p>
    <w:p w:rsidR="008C146C" w:rsidRDefault="004027D5">
      <w:pPr>
        <w:ind w:firstLine="73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«Порядок досудебного (внесудебного) обжалования решений и действий (бездействия) органа, предоставляющего государственную услугу, а также              его должностных лиц регулируется Федеральным законом от 27.07.2010 № 210-ФЗ, постановлением Правительства Российской Федерации от 20.11.2012                             № 1198 «О федеральной государственной информационной системе, обеспечивающей процесс досудебного (внесудебного) обжалования решений             и действий (бездействия), совершенных при предоставлении государственных           и муниципальных услуг», постановлением Правительства Рязанской области от </w:t>
      </w:r>
      <w:r>
        <w:rPr>
          <w:rFonts w:eastAsia="Calibri"/>
          <w:sz w:val="28"/>
          <w:szCs w:val="28"/>
          <w:lang w:eastAsia="en-US"/>
        </w:rPr>
        <w:lastRenderedPageBreak/>
        <w:t>17.10.2012 № 294 «Об особенностях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подачи и рассмотрения жалоб в сфере предоставления государственных услуг в Рязанской области </w:t>
      </w:r>
      <w:r>
        <w:rPr>
          <w:sz w:val="28"/>
          <w:szCs w:val="28"/>
        </w:rPr>
        <w:t>(указанная информация подлежит обязательному размещению на ЕПГУ).</w:t>
      </w:r>
      <w:r>
        <w:rPr>
          <w:color w:val="000000"/>
          <w:sz w:val="28"/>
        </w:rPr>
        <w:t xml:space="preserve"> Заявители имеют право на обжалование действий или бездействия специалистов и должностных лиц Учреждения и уполномоченной организации в следующих случаях:».</w:t>
      </w:r>
    </w:p>
    <w:p w:rsidR="008C146C" w:rsidRDefault="004027D5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18) приложение № 2 к административному регламенту исключить.</w:t>
      </w:r>
    </w:p>
    <w:p w:rsidR="008C146C" w:rsidRDefault="004027D5">
      <w:pPr>
        <w:ind w:firstLine="737"/>
        <w:jc w:val="both"/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        его официального опубликования.</w:t>
      </w:r>
    </w:p>
    <w:p w:rsidR="008C146C" w:rsidRDefault="004027D5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Отделу кадровой работы и делопроизводства обеспечить опубликование настоящего постановления в сетевом издании «Рязанский ведомости»           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8C146C" w:rsidRDefault="004027D5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Отделу информационного обеспечения градостроительной деятельности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8C146C" w:rsidRDefault="008C146C">
      <w:pPr>
        <w:ind w:firstLine="737"/>
        <w:jc w:val="both"/>
      </w:pPr>
    </w:p>
    <w:p w:rsidR="008C146C" w:rsidRDefault="008C146C">
      <w:pPr>
        <w:jc w:val="right"/>
      </w:pPr>
    </w:p>
    <w:p w:rsidR="008C146C" w:rsidRDefault="008C146C">
      <w:pPr>
        <w:jc w:val="right"/>
      </w:pPr>
    </w:p>
    <w:p w:rsidR="008C146C" w:rsidRDefault="004027D5">
      <w:pPr>
        <w:jc w:val="both"/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8C146C">
      <w:pPr>
        <w:ind w:left="5613"/>
        <w:rPr>
          <w:sz w:val="28"/>
          <w:szCs w:val="28"/>
          <w:lang w:eastAsia="ru-RU"/>
        </w:rPr>
      </w:pPr>
    </w:p>
    <w:p w:rsidR="008C146C" w:rsidRDefault="00BC6E21">
      <w:pPr>
        <w:ind w:left="5613"/>
        <w:rPr>
          <w:bCs/>
          <w:sz w:val="28"/>
          <w:szCs w:val="28"/>
          <w:lang w:eastAsia="ru-RU"/>
        </w:rPr>
      </w:pPr>
      <w:r>
        <w:rPr>
          <w:noProof/>
        </w:rPr>
        <w:pict>
          <v:rect id="Изображение4" o:spid="_x0000_s1026" style="position:absolute;left:0;text-align:left;margin-left:236.65pt;margin-top:-25.2pt;width:34.8pt;height:16.0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" strokecolor="white" strokeweight="2pt">
            <v:stroke joinstyle="round"/>
          </v:rect>
        </w:pict>
      </w:r>
    </w:p>
    <w:p w:rsidR="008C146C" w:rsidRDefault="008C146C">
      <w:pPr>
        <w:ind w:left="5613"/>
        <w:rPr>
          <w:bCs/>
          <w:sz w:val="28"/>
          <w:szCs w:val="28"/>
          <w:lang w:eastAsia="ru-RU"/>
        </w:rPr>
      </w:pPr>
    </w:p>
    <w:sectPr w:rsidR="008C146C">
      <w:headerReference w:type="default" r:id="rId14"/>
      <w:headerReference w:type="first" r:id="rId15"/>
      <w:pgSz w:w="11906" w:h="16838"/>
      <w:pgMar w:top="851" w:right="567" w:bottom="993" w:left="1134" w:header="45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21" w:rsidRDefault="00BC6E21">
      <w:r>
        <w:separator/>
      </w:r>
    </w:p>
  </w:endnote>
  <w:endnote w:type="continuationSeparator" w:id="0">
    <w:p w:rsidR="00BC6E21" w:rsidRDefault="00BC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21" w:rsidRDefault="00BC6E21">
      <w:r>
        <w:separator/>
      </w:r>
    </w:p>
  </w:footnote>
  <w:footnote w:type="continuationSeparator" w:id="0">
    <w:p w:rsidR="00BC6E21" w:rsidRDefault="00BC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6C" w:rsidRDefault="008C146C">
    <w:pPr>
      <w:pStyle w:val="af6"/>
      <w:jc w:val="center"/>
    </w:pPr>
  </w:p>
  <w:p w:rsidR="008C146C" w:rsidRDefault="008C146C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6C" w:rsidRDefault="008C146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B51"/>
    <w:multiLevelType w:val="multilevel"/>
    <w:tmpl w:val="FF589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C85BD0"/>
    <w:multiLevelType w:val="multilevel"/>
    <w:tmpl w:val="15BC4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46C"/>
    <w:rsid w:val="004027D5"/>
    <w:rsid w:val="00517E03"/>
    <w:rsid w:val="005D4F30"/>
    <w:rsid w:val="008C146C"/>
    <w:rsid w:val="00BC6E21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uiPriority w:val="9"/>
    <w:unhideWhenUsed/>
    <w:qFormat/>
    <w:pPr>
      <w:keepNext/>
      <w:keepLines/>
      <w:suppressAutoHyphen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uiPriority w:val="9"/>
    <w:unhideWhenUsed/>
    <w:qFormat/>
    <w:pPr>
      <w:keepNext/>
      <w:keepLines/>
      <w:suppressAutoHyphen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uiPriority w:val="9"/>
    <w:unhideWhenUsed/>
    <w:qFormat/>
    <w:pPr>
      <w:keepNext/>
      <w:keepLines/>
      <w:suppressAutoHyphen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uiPriority w:val="9"/>
    <w:unhideWhenUsed/>
    <w:qFormat/>
    <w:pPr>
      <w:keepNext/>
      <w:keepLines/>
      <w:suppressAutoHyphen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uiPriority w:val="9"/>
    <w:unhideWhenUsed/>
    <w:qFormat/>
    <w:pPr>
      <w:keepNext/>
      <w:keepLines/>
      <w:suppressAutoHyphen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uiPriority w:val="9"/>
    <w:unhideWhenUsed/>
    <w:qFormat/>
    <w:pPr>
      <w:keepNext/>
      <w:keepLines/>
      <w:suppressAutoHyphen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uiPriority w:val="9"/>
    <w:unhideWhenUsed/>
    <w:qFormat/>
    <w:pPr>
      <w:keepNext/>
      <w:keepLines/>
      <w:suppressAutoHyphen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uiPriority w:val="9"/>
    <w:unhideWhenUsed/>
    <w:qFormat/>
    <w:pPr>
      <w:keepNext/>
      <w:keepLines/>
      <w:suppressAutoHyphen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</w:style>
  <w:style w:type="character" w:styleId="a6">
    <w:name w:val="Hyperlink"/>
    <w:qFormat/>
    <w:rPr>
      <w:color w:val="0000FF"/>
      <w:u w:val="single"/>
    </w:rPr>
  </w:style>
  <w:style w:type="character" w:styleId="a7">
    <w:name w:val="FollowedHyperlink"/>
    <w:qFormat/>
    <w:rPr>
      <w:color w:val="800080"/>
      <w:u w:val="single"/>
    </w:rPr>
  </w:style>
  <w:style w:type="character" w:customStyle="1" w:styleId="a8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9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a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Title"/>
    <w:uiPriority w:val="10"/>
    <w:qFormat/>
    <w:pPr>
      <w:suppressAutoHyphens/>
      <w:spacing w:before="300" w:after="200"/>
      <w:contextualSpacing/>
    </w:pPr>
    <w:rPr>
      <w:sz w:val="48"/>
      <w:szCs w:val="48"/>
      <w:lang w:eastAsia="zh-CN"/>
    </w:rPr>
  </w:style>
  <w:style w:type="paragraph" w:styleId="af3">
    <w:name w:val="Subtitle"/>
    <w:uiPriority w:val="11"/>
    <w:qFormat/>
    <w:pPr>
      <w:suppressAutoHyphens/>
      <w:spacing w:before="200" w:after="200"/>
    </w:pPr>
    <w:rPr>
      <w:sz w:val="24"/>
      <w:szCs w:val="24"/>
      <w:lang w:eastAsia="zh-CN"/>
    </w:rPr>
  </w:style>
  <w:style w:type="paragraph" w:styleId="21">
    <w:name w:val="Quote"/>
    <w:uiPriority w:val="29"/>
    <w:qFormat/>
    <w:pPr>
      <w:suppressAutoHyphens/>
      <w:ind w:left="720" w:right="720"/>
    </w:pPr>
    <w:rPr>
      <w:i/>
      <w:lang w:eastAsia="zh-CN"/>
    </w:rPr>
  </w:style>
  <w:style w:type="paragraph" w:styleId="af4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/>
      <w:ind w:left="720" w:right="720"/>
    </w:pPr>
    <w:rPr>
      <w:i/>
      <w:lang w:eastAsia="zh-CN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footnote text"/>
    <w:uiPriority w:val="99"/>
    <w:semiHidden/>
    <w:unhideWhenUsed/>
    <w:pPr>
      <w:suppressAutoHyphens/>
      <w:spacing w:after="40"/>
    </w:pPr>
    <w:rPr>
      <w:sz w:val="18"/>
      <w:lang w:eastAsia="zh-CN"/>
    </w:rPr>
  </w:style>
  <w:style w:type="paragraph" w:styleId="af9">
    <w:name w:val="endnote text"/>
    <w:basedOn w:val="a"/>
    <w:qFormat/>
    <w:rPr>
      <w:sz w:val="20"/>
    </w:rPr>
  </w:style>
  <w:style w:type="paragraph" w:styleId="12">
    <w:name w:val="toc 1"/>
    <w:uiPriority w:val="39"/>
    <w:unhideWhenUsed/>
    <w:pPr>
      <w:suppressAutoHyphens/>
      <w:spacing w:after="57"/>
    </w:pPr>
    <w:rPr>
      <w:lang w:eastAsia="zh-CN"/>
    </w:rPr>
  </w:style>
  <w:style w:type="paragraph" w:styleId="22">
    <w:name w:val="toc 2"/>
    <w:uiPriority w:val="39"/>
    <w:unhideWhenUsed/>
    <w:pPr>
      <w:suppressAutoHyphens/>
      <w:spacing w:after="57"/>
      <w:ind w:left="283"/>
    </w:pPr>
    <w:rPr>
      <w:lang w:eastAsia="zh-CN"/>
    </w:rPr>
  </w:style>
  <w:style w:type="paragraph" w:styleId="30">
    <w:name w:val="toc 3"/>
    <w:uiPriority w:val="39"/>
    <w:unhideWhenUsed/>
    <w:pPr>
      <w:suppressAutoHyphens/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pPr>
      <w:suppressAutoHyphens/>
      <w:spacing w:after="57"/>
      <w:ind w:left="850"/>
    </w:pPr>
    <w:rPr>
      <w:lang w:eastAsia="zh-CN"/>
    </w:rPr>
  </w:style>
  <w:style w:type="paragraph" w:styleId="50">
    <w:name w:val="toc 5"/>
    <w:uiPriority w:val="39"/>
    <w:unhideWhenUsed/>
    <w:pPr>
      <w:suppressAutoHyphens/>
      <w:spacing w:after="57"/>
      <w:ind w:left="1134"/>
    </w:pPr>
    <w:rPr>
      <w:lang w:eastAsia="zh-CN"/>
    </w:rPr>
  </w:style>
  <w:style w:type="paragraph" w:styleId="60">
    <w:name w:val="toc 6"/>
    <w:uiPriority w:val="39"/>
    <w:unhideWhenUsed/>
    <w:pPr>
      <w:suppressAutoHyphens/>
      <w:spacing w:after="57"/>
      <w:ind w:left="1417"/>
    </w:pPr>
    <w:rPr>
      <w:lang w:eastAsia="zh-CN"/>
    </w:rPr>
  </w:style>
  <w:style w:type="paragraph" w:styleId="70">
    <w:name w:val="toc 7"/>
    <w:uiPriority w:val="39"/>
    <w:unhideWhenUsed/>
    <w:pPr>
      <w:suppressAutoHyphens/>
      <w:spacing w:after="57"/>
      <w:ind w:left="1701"/>
    </w:pPr>
    <w:rPr>
      <w:lang w:eastAsia="zh-CN"/>
    </w:rPr>
  </w:style>
  <w:style w:type="paragraph" w:styleId="80">
    <w:name w:val="toc 8"/>
    <w:uiPriority w:val="39"/>
    <w:unhideWhenUsed/>
    <w:pPr>
      <w:suppressAutoHyphens/>
      <w:spacing w:after="57"/>
      <w:ind w:left="1984"/>
    </w:pPr>
    <w:rPr>
      <w:lang w:eastAsia="zh-CN"/>
    </w:rPr>
  </w:style>
  <w:style w:type="paragraph" w:styleId="90">
    <w:name w:val="toc 9"/>
    <w:uiPriority w:val="39"/>
    <w:unhideWhenUsed/>
    <w:pPr>
      <w:suppressAutoHyphens/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qFormat/>
    <w:pPr>
      <w:suppressAutoHyphens/>
    </w:pPr>
    <w:rPr>
      <w:lang w:eastAsia="zh-CN"/>
    </w:rPr>
  </w:style>
  <w:style w:type="paragraph" w:customStyle="1" w:styleId="13">
    <w:name w:val="Заголовок1"/>
    <w:basedOn w:val="a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c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lang w:eastAsia="zh-CN"/>
    </w:rPr>
  </w:style>
  <w:style w:type="paragraph" w:customStyle="1" w:styleId="25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62BBF5104D6A6FFBD2D0DA3F5CA446D1&amp;req=doc&amp;base=LAW&amp;n=347792&amp;dst=100203&amp;fld=134&amp;date=24.09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AFF1080EAF8FAC3415159E591F62E462&amp;req=doc&amp;base=LAW&amp;n=208223&amp;REFFIELD=134&amp;REFDST=100111&amp;REFDOC=299733&amp;REFBASE=RLAW073&amp;stat=refcode%3D16876%3Bindex%3D187&amp;date=05.08.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AFF1080EAF8FAC3415159E591F62E462&amp;req=doc&amp;base=LAW&amp;n=208223&amp;REFFIELD=134&amp;REFDST=100111&amp;REFDOC=299733&amp;REFBASE=RLAW073&amp;stat=refcode%3D16876%3Bindex%3D187&amp;date=05.08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nd=A95C6A616DC4EF538E9CA589CC033ED4&amp;req=doc&amp;base=RLAW073&amp;n=299733&amp;dst=100385&amp;fld=134&amp;date=22.09.2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DFFF6B4A1A7BC520EBD489F82AD4CE6557DF5734B9EDAAEC9A4829C3A0B53927V2EB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1500</Words>
  <Characters>8551</Characters>
  <Application>Microsoft Office Word</Application>
  <DocSecurity>0</DocSecurity>
  <Lines>71</Lines>
  <Paragraphs>20</Paragraphs>
  <ScaleCrop>false</ScaleCrop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22</cp:revision>
  <cp:lastPrinted>2021-12-23T13:34:00Z</cp:lastPrinted>
  <dcterms:created xsi:type="dcterms:W3CDTF">2021-12-23T13:14:00Z</dcterms:created>
  <dcterms:modified xsi:type="dcterms:W3CDTF">2021-12-24T09:19:00Z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