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D27E1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D27E1">
        <w:tc>
          <w:tcPr>
            <w:tcW w:w="5428" w:type="dxa"/>
          </w:tcPr>
          <w:p w:rsidR="00190FF9" w:rsidRPr="00ED27E1" w:rsidRDefault="00190FF9" w:rsidP="00ED2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D27E1" w:rsidRPr="00ED27E1" w:rsidRDefault="00ED27E1" w:rsidP="00ED27E1">
            <w:pPr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ED27E1" w:rsidRPr="00ED27E1" w:rsidRDefault="00ED27E1" w:rsidP="00ED27E1">
            <w:pPr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190FF9" w:rsidRPr="00ED27E1" w:rsidRDefault="00ED27E1" w:rsidP="00ED27E1">
            <w:pPr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D27E1" w:rsidRPr="00ED27E1">
        <w:tc>
          <w:tcPr>
            <w:tcW w:w="5428" w:type="dxa"/>
          </w:tcPr>
          <w:p w:rsidR="00ED27E1" w:rsidRPr="00ED27E1" w:rsidRDefault="00ED27E1" w:rsidP="00ED27E1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00" w:type="dxa"/>
          </w:tcPr>
          <w:p w:rsidR="00ED27E1" w:rsidRPr="00ED27E1" w:rsidRDefault="00D47394" w:rsidP="00ED27E1">
            <w:pPr>
              <w:rPr>
                <w:rFonts w:ascii="Times New Roman" w:hAnsi="Times New Roman"/>
                <w:sz w:val="28"/>
                <w:szCs w:val="28"/>
              </w:rPr>
            </w:pPr>
            <w:r w:rsidRPr="00D47394">
              <w:rPr>
                <w:rFonts w:ascii="Times New Roman" w:hAnsi="Times New Roman"/>
                <w:sz w:val="28"/>
                <w:szCs w:val="28"/>
              </w:rPr>
              <w:t>от 25.01.2022 № 11</w:t>
            </w:r>
          </w:p>
        </w:tc>
      </w:tr>
      <w:bookmarkEnd w:id="0"/>
      <w:tr w:rsidR="00ED27E1" w:rsidRPr="00ED27E1">
        <w:tc>
          <w:tcPr>
            <w:tcW w:w="5428" w:type="dxa"/>
          </w:tcPr>
          <w:p w:rsidR="00ED27E1" w:rsidRPr="00ED27E1" w:rsidRDefault="00ED27E1" w:rsidP="00ED2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D27E1" w:rsidRPr="00ED27E1" w:rsidRDefault="00ED27E1" w:rsidP="00ED2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096E" w:rsidRDefault="00C6096E" w:rsidP="00C6096E">
      <w:pPr>
        <w:tabs>
          <w:tab w:val="left" w:pos="4678"/>
        </w:tabs>
        <w:spacing w:line="235" w:lineRule="auto"/>
        <w:ind w:left="5103"/>
        <w:rPr>
          <w:rFonts w:ascii="Times New Roman" w:hAnsi="Times New Roman"/>
          <w:sz w:val="28"/>
          <w:szCs w:val="28"/>
        </w:rPr>
      </w:pPr>
    </w:p>
    <w:p w:rsidR="00ED27E1" w:rsidRPr="00ED27E1" w:rsidRDefault="00ED27E1" w:rsidP="00C6096E">
      <w:pPr>
        <w:tabs>
          <w:tab w:val="left" w:pos="4678"/>
        </w:tabs>
        <w:spacing w:line="235" w:lineRule="auto"/>
        <w:ind w:left="5103"/>
        <w:rPr>
          <w:rFonts w:ascii="Times New Roman" w:hAnsi="Times New Roman"/>
          <w:sz w:val="28"/>
          <w:szCs w:val="28"/>
        </w:rPr>
      </w:pPr>
    </w:p>
    <w:p w:rsidR="00ED27E1" w:rsidRDefault="00C6096E" w:rsidP="00ED27E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ED27E1">
        <w:rPr>
          <w:rFonts w:ascii="Times New Roman" w:hAnsi="Times New Roman"/>
          <w:sz w:val="28"/>
          <w:szCs w:val="28"/>
        </w:rPr>
        <w:t>«</w:t>
      </w:r>
      <w:r w:rsidRPr="00ED27E1">
        <w:rPr>
          <w:rFonts w:ascii="Times New Roman" w:hAnsi="Times New Roman"/>
          <w:sz w:val="28"/>
          <w:szCs w:val="28"/>
          <w:lang w:val="en-US"/>
        </w:rPr>
        <w:t>VII</w:t>
      </w:r>
      <w:r w:rsidRPr="00ED27E1">
        <w:rPr>
          <w:rFonts w:ascii="Times New Roman" w:hAnsi="Times New Roman"/>
          <w:sz w:val="28"/>
          <w:szCs w:val="28"/>
        </w:rPr>
        <w:t xml:space="preserve">. </w:t>
      </w:r>
      <w:r w:rsidRPr="00ED27E1">
        <w:rPr>
          <w:rFonts w:ascii="Times New Roman" w:hAnsi="Times New Roman"/>
          <w:bCs/>
          <w:sz w:val="28"/>
          <w:szCs w:val="28"/>
        </w:rPr>
        <w:t xml:space="preserve">Ключевой показатель </w:t>
      </w:r>
      <w:proofErr w:type="gramStart"/>
      <w:r w:rsidRPr="00ED27E1">
        <w:rPr>
          <w:rFonts w:ascii="Times New Roman" w:hAnsi="Times New Roman"/>
          <w:bCs/>
          <w:sz w:val="28"/>
          <w:szCs w:val="28"/>
        </w:rPr>
        <w:t>регионального</w:t>
      </w:r>
      <w:proofErr w:type="gramEnd"/>
      <w:r w:rsidRPr="00ED27E1">
        <w:rPr>
          <w:rFonts w:ascii="Times New Roman" w:hAnsi="Times New Roman"/>
          <w:bCs/>
          <w:sz w:val="28"/>
          <w:szCs w:val="28"/>
        </w:rPr>
        <w:t xml:space="preserve"> государственного</w:t>
      </w:r>
    </w:p>
    <w:p w:rsidR="00ED27E1" w:rsidRDefault="00C6096E" w:rsidP="00ED27E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ED27E1">
        <w:rPr>
          <w:rFonts w:ascii="Times New Roman" w:hAnsi="Times New Roman"/>
          <w:bCs/>
          <w:sz w:val="28"/>
          <w:szCs w:val="28"/>
        </w:rPr>
        <w:t xml:space="preserve">контроля (надзора) и его целевое значение, </w:t>
      </w:r>
      <w:proofErr w:type="gramStart"/>
      <w:r w:rsidRPr="00ED27E1">
        <w:rPr>
          <w:rFonts w:ascii="Times New Roman" w:hAnsi="Times New Roman"/>
          <w:bCs/>
          <w:sz w:val="28"/>
          <w:szCs w:val="28"/>
        </w:rPr>
        <w:t>индикативные</w:t>
      </w:r>
      <w:proofErr w:type="gramEnd"/>
    </w:p>
    <w:p w:rsidR="00C6096E" w:rsidRPr="00ED27E1" w:rsidRDefault="00C6096E" w:rsidP="00ED27E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ED27E1">
        <w:rPr>
          <w:rFonts w:ascii="Times New Roman" w:hAnsi="Times New Roman"/>
          <w:bCs/>
          <w:sz w:val="28"/>
          <w:szCs w:val="28"/>
        </w:rPr>
        <w:t>показатели для регионального государственного контроля (надзора)</w:t>
      </w:r>
    </w:p>
    <w:p w:rsidR="00C6096E" w:rsidRPr="00ED27E1" w:rsidRDefault="00C6096E" w:rsidP="00C6096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C6096E" w:rsidRPr="00ED27E1" w:rsidRDefault="00C6096E" w:rsidP="00C609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27E1">
        <w:rPr>
          <w:rFonts w:ascii="Times New Roman" w:hAnsi="Times New Roman"/>
          <w:bCs/>
          <w:sz w:val="28"/>
          <w:szCs w:val="28"/>
        </w:rPr>
        <w:t>72. Ключевой показатель регионального государственного контроля (надзора) и его целевое значение.</w:t>
      </w: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8"/>
        <w:gridCol w:w="1476"/>
        <w:gridCol w:w="1399"/>
      </w:tblGrid>
      <w:tr w:rsidR="00C6096E" w:rsidRPr="00ED27E1" w:rsidTr="005817B9">
        <w:tc>
          <w:tcPr>
            <w:tcW w:w="3471" w:type="pct"/>
            <w:shd w:val="clear" w:color="auto" w:fill="auto"/>
            <w:vAlign w:val="center"/>
          </w:tcPr>
          <w:p w:rsidR="00C6096E" w:rsidRPr="00ED27E1" w:rsidRDefault="00C6096E" w:rsidP="00E87545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C6096E" w:rsidRPr="00ED27E1" w:rsidRDefault="00C6096E" w:rsidP="00E87545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C6096E" w:rsidRPr="00ED27E1" w:rsidRDefault="00C6096E" w:rsidP="00E87545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Целевое значение</w:t>
            </w:r>
          </w:p>
        </w:tc>
      </w:tr>
      <w:tr w:rsidR="00C6096E" w:rsidRPr="00ED27E1" w:rsidTr="005817B9">
        <w:tc>
          <w:tcPr>
            <w:tcW w:w="3471" w:type="pct"/>
            <w:shd w:val="clear" w:color="auto" w:fill="auto"/>
            <w:vAlign w:val="center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Материальный ущерб, причиненный в результате завышения регулируемых на уровне исполнительных органов государственной власти Рязанской области тарифов в сфере водоснабжения и водоотведения</w:t>
            </w:r>
          </w:p>
        </w:tc>
        <w:tc>
          <w:tcPr>
            <w:tcW w:w="785" w:type="pct"/>
            <w:shd w:val="clear" w:color="auto" w:fill="auto"/>
          </w:tcPr>
          <w:p w:rsidR="00C6096E" w:rsidRPr="00ED27E1" w:rsidRDefault="00C6096E" w:rsidP="00ED27E1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44" w:type="pct"/>
            <w:shd w:val="clear" w:color="auto" w:fill="auto"/>
          </w:tcPr>
          <w:p w:rsidR="00C6096E" w:rsidRPr="00ED27E1" w:rsidRDefault="00C6096E" w:rsidP="00ED27E1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не более 0,001</w:t>
            </w:r>
          </w:p>
        </w:tc>
      </w:tr>
    </w:tbl>
    <w:p w:rsidR="00C6096E" w:rsidRPr="00ED27E1" w:rsidRDefault="00C6096E" w:rsidP="00C609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7E1">
        <w:rPr>
          <w:rFonts w:ascii="Times New Roman" w:hAnsi="Times New Roman"/>
          <w:bCs/>
          <w:sz w:val="28"/>
          <w:szCs w:val="28"/>
        </w:rPr>
        <w:t>73. Индикативные показатели для регионального государственного контроля (надзора).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36"/>
      </w:tblGrid>
      <w:tr w:rsidR="00C6096E" w:rsidRPr="00ED27E1" w:rsidTr="00ED27E1">
        <w:tc>
          <w:tcPr>
            <w:tcW w:w="704" w:type="dxa"/>
            <w:shd w:val="clear" w:color="auto" w:fill="auto"/>
          </w:tcPr>
          <w:p w:rsidR="00C6096E" w:rsidRPr="00ED27E1" w:rsidRDefault="00C6096E" w:rsidP="00ED27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D27E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D27E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C6096E" w:rsidP="00ED27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</w:tr>
    </w:tbl>
    <w:p w:rsidR="00ED27E1" w:rsidRPr="00ED27E1" w:rsidRDefault="00ED27E1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36"/>
      </w:tblGrid>
      <w:tr w:rsidR="00ED27E1" w:rsidRPr="00ED27E1" w:rsidTr="00ED27E1">
        <w:trPr>
          <w:tblHeader/>
        </w:trPr>
        <w:tc>
          <w:tcPr>
            <w:tcW w:w="704" w:type="dxa"/>
            <w:shd w:val="clear" w:color="auto" w:fill="auto"/>
          </w:tcPr>
          <w:p w:rsidR="00ED27E1" w:rsidRPr="00ED27E1" w:rsidRDefault="00ED27E1" w:rsidP="00ED27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6" w:type="dxa"/>
            <w:shd w:val="clear" w:color="auto" w:fill="auto"/>
          </w:tcPr>
          <w:p w:rsidR="00ED27E1" w:rsidRPr="00ED27E1" w:rsidRDefault="00ED27E1" w:rsidP="00ED27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6096E" w:rsidRPr="00ED27E1" w:rsidTr="00E87545">
        <w:trPr>
          <w:trHeight w:val="632"/>
        </w:trPr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ED27E1">
              <w:rPr>
                <w:color w:val="auto"/>
                <w:sz w:val="28"/>
                <w:szCs w:val="28"/>
              </w:rPr>
              <w:t>Количество плановых контрольных (надзорных) мероприятий, проведенных за отчетный период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ED27E1">
              <w:rPr>
                <w:color w:val="auto"/>
                <w:sz w:val="28"/>
                <w:szCs w:val="28"/>
              </w:rPr>
              <w:t xml:space="preserve">Количество внеплановых контрольных </w:t>
            </w:r>
            <w:r w:rsidR="00C6096E" w:rsidRPr="00ED27E1">
              <w:rPr>
                <w:color w:val="auto"/>
                <w:sz w:val="28"/>
                <w:szCs w:val="28"/>
              </w:rPr>
              <w:t>(надзорных) мероприятий, проведенных за отчетный период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Количество внеплановых контрольных (надзорных) мероприятий, проведенных за отчетный период на основании выявления соответствия объекта контроля (надзора) параметрам, утвержденным индикаторами риска</w:t>
            </w:r>
            <w:r w:rsidR="00C6096E" w:rsidRPr="00ED27E1">
              <w:rPr>
                <w:rFonts w:ascii="Times New Roman" w:hAnsi="Times New Roman"/>
                <w:sz w:val="28"/>
                <w:szCs w:val="28"/>
              </w:rPr>
              <w:t xml:space="preserve"> нарушения обязательных требований, или отклонения объекта контроля (надзора) от таких параметров, за отчетный период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ED27E1">
              <w:rPr>
                <w:color w:val="auto"/>
                <w:sz w:val="28"/>
                <w:szCs w:val="28"/>
              </w:rPr>
              <w:t xml:space="preserve">Общее количество контрольных (надзорных) мероприятий </w:t>
            </w:r>
            <w:r w:rsidRPr="00ED27E1">
              <w:rPr>
                <w:color w:val="auto"/>
                <w:sz w:val="28"/>
                <w:szCs w:val="28"/>
              </w:rPr>
              <w:br/>
              <w:t>с взаимодействием, проведенных за отчетный период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ED27E1">
              <w:rPr>
                <w:color w:val="auto"/>
                <w:sz w:val="28"/>
                <w:szCs w:val="28"/>
              </w:rPr>
              <w:t xml:space="preserve">Количество контрольных </w:t>
            </w:r>
            <w:r w:rsidR="00C6096E" w:rsidRPr="00ED27E1">
              <w:rPr>
                <w:color w:val="auto"/>
                <w:sz w:val="28"/>
                <w:szCs w:val="28"/>
              </w:rPr>
              <w:t>(надзорных) мероприятий с взаимодействием по каждому виду контрольных (надзорных) мероприятий, проведенных за отчетный период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ED27E1">
              <w:rPr>
                <w:color w:val="auto"/>
                <w:sz w:val="28"/>
                <w:szCs w:val="28"/>
              </w:rPr>
              <w:t>Количество контрольных (надзорных) мероприятий, проведенных с использованием средств дистанционного взаимодействия, за отчетный</w:t>
            </w:r>
            <w:r w:rsidR="00C6096E" w:rsidRPr="00ED27E1">
              <w:rPr>
                <w:color w:val="auto"/>
                <w:sz w:val="28"/>
                <w:szCs w:val="28"/>
              </w:rPr>
              <w:t xml:space="preserve"> период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ED27E1">
              <w:rPr>
                <w:color w:val="auto"/>
                <w:sz w:val="28"/>
                <w:szCs w:val="28"/>
              </w:rPr>
              <w:t xml:space="preserve">Количество обязательных профилактических визитов, проведенных </w:t>
            </w:r>
            <w:r w:rsidRPr="00ED27E1">
              <w:rPr>
                <w:color w:val="auto"/>
                <w:sz w:val="28"/>
                <w:szCs w:val="28"/>
              </w:rPr>
              <w:br/>
              <w:t>за отчетный период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ED27E1">
              <w:rPr>
                <w:color w:val="auto"/>
                <w:sz w:val="28"/>
                <w:szCs w:val="28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ED27E1">
              <w:rPr>
                <w:color w:val="auto"/>
                <w:sz w:val="28"/>
                <w:szCs w:val="28"/>
              </w:rPr>
              <w:t>Количество контрольных (надзорных) мероприятий,</w:t>
            </w:r>
            <w:r w:rsidR="00C6096E" w:rsidRPr="00ED27E1">
              <w:rPr>
                <w:color w:val="auto"/>
                <w:sz w:val="28"/>
                <w:szCs w:val="28"/>
              </w:rPr>
              <w:t xml:space="preserve"> по результатам которых выявлены нарушения обязательных требований, за отчетный период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ED27E1">
              <w:rPr>
                <w:color w:val="auto"/>
                <w:sz w:val="28"/>
                <w:szCs w:val="28"/>
              </w:rPr>
              <w:t>Количество контрольных (надзорных) мероприятий, по итогам которых возбуждены дела об административных правонарушениях, за отчетный период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ED27E1">
              <w:rPr>
                <w:color w:val="auto"/>
                <w:sz w:val="28"/>
                <w:szCs w:val="28"/>
              </w:rPr>
              <w:t xml:space="preserve">Сумма административных </w:t>
            </w:r>
            <w:r w:rsidR="00C6096E" w:rsidRPr="00ED27E1">
              <w:rPr>
                <w:color w:val="auto"/>
                <w:sz w:val="28"/>
                <w:szCs w:val="28"/>
              </w:rPr>
              <w:t>штрафов, наложенных по результатам контрольных (надзорных) мероприятий, за отчетный период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ED27E1">
              <w:rPr>
                <w:color w:val="auto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мероприятий, за отчетный период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ED27E1">
              <w:rPr>
                <w:color w:val="auto"/>
                <w:sz w:val="28"/>
                <w:szCs w:val="28"/>
              </w:rPr>
              <w:t xml:space="preserve">Количество </w:t>
            </w:r>
            <w:r w:rsidR="00C6096E" w:rsidRPr="00ED27E1">
              <w:rPr>
                <w:color w:val="auto"/>
                <w:sz w:val="28"/>
                <w:szCs w:val="28"/>
              </w:rPr>
              <w:t>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ED27E1">
              <w:rPr>
                <w:color w:val="auto"/>
                <w:sz w:val="28"/>
                <w:szCs w:val="28"/>
              </w:rPr>
              <w:t>Общее количество учтенных объектов контроля на конец отчетного период</w:t>
            </w:r>
            <w:r w:rsidR="00C6096E" w:rsidRPr="00ED27E1">
              <w:rPr>
                <w:color w:val="auto"/>
                <w:sz w:val="28"/>
                <w:szCs w:val="28"/>
              </w:rPr>
              <w:t>а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ED27E1">
              <w:rPr>
                <w:color w:val="auto"/>
                <w:sz w:val="28"/>
                <w:szCs w:val="28"/>
              </w:rPr>
              <w:t>Количество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ED27E1">
              <w:rPr>
                <w:color w:val="auto"/>
                <w:sz w:val="28"/>
                <w:szCs w:val="28"/>
              </w:rPr>
              <w:t>Количество учтенных контролируемых лиц на конец отчетного периода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ED27E1">
              <w:rPr>
                <w:color w:val="auto"/>
                <w:sz w:val="28"/>
                <w:szCs w:val="28"/>
              </w:rPr>
              <w:t xml:space="preserve">Количество учтенных контролируемых лиц, в </w:t>
            </w:r>
            <w:r w:rsidR="00C6096E" w:rsidRPr="00ED27E1">
              <w:rPr>
                <w:color w:val="auto"/>
                <w:sz w:val="28"/>
                <w:szCs w:val="28"/>
              </w:rPr>
              <w:t>отношении которых проведены контрольные (надзорные) мероприятия, за отчетный период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</w:rPr>
              <w:t>Общее количество жалоб, поданных контролируемыми лицами в досудебном порядке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ED27E1">
              <w:rPr>
                <w:rFonts w:ascii="Times New Roman" w:hAnsi="Times New Roman"/>
                <w:sz w:val="28"/>
              </w:rPr>
              <w:t xml:space="preserve"> за отчетный период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</w:rPr>
              <w:t>Количество жалоб, в отношении которых главным управлением был наруше</w:t>
            </w:r>
            <w:r w:rsidR="00C6096E" w:rsidRPr="00ED27E1">
              <w:rPr>
                <w:rFonts w:ascii="Times New Roman" w:hAnsi="Times New Roman"/>
                <w:sz w:val="28"/>
              </w:rPr>
              <w:t>н срок рассмотрения, за отчетный период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</w:rPr>
              <w:t xml:space="preserve">Количество жалоб, поданных контролируемыми лицами в досудебном порядке, по </w:t>
            </w:r>
            <w:proofErr w:type="gramStart"/>
            <w:r w:rsidRPr="00ED27E1">
              <w:rPr>
                <w:rFonts w:ascii="Times New Roman" w:hAnsi="Times New Roman"/>
                <w:sz w:val="28"/>
              </w:rPr>
              <w:t>итогам</w:t>
            </w:r>
            <w:proofErr w:type="gramEnd"/>
            <w:r w:rsidRPr="00ED27E1">
              <w:rPr>
                <w:rFonts w:ascii="Times New Roman" w:hAnsi="Times New Roman"/>
                <w:sz w:val="28"/>
              </w:rPr>
              <w:t xml:space="preserve"> рассмотрения которых принято решение о полной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ED27E1">
              <w:rPr>
                <w:rFonts w:ascii="Times New Roman" w:hAnsi="Times New Roman"/>
                <w:sz w:val="28"/>
              </w:rPr>
              <w:t xml:space="preserve"> либо частичной отмене решения главного управления, либо о признании действий (бездей</w:t>
            </w:r>
            <w:r w:rsidR="00C6096E" w:rsidRPr="00ED27E1">
              <w:rPr>
                <w:rFonts w:ascii="Times New Roman" w:hAnsi="Times New Roman"/>
                <w:sz w:val="28"/>
              </w:rPr>
              <w:t>ствий) должностных лиц главного управления недействительными, за отчетный период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</w:rPr>
              <w:t>Количество исковых заявлений об оспаривании решений, действий (бездействий) должностных лиц главного управления, направленных контролируемыми лицами в судебном порядке, за</w:t>
            </w:r>
            <w:r w:rsidR="00C6096E" w:rsidRPr="00ED27E1">
              <w:rPr>
                <w:rFonts w:ascii="Times New Roman" w:hAnsi="Times New Roman"/>
                <w:sz w:val="28"/>
              </w:rPr>
              <w:t xml:space="preserve"> отчетный период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ED27E1">
              <w:rPr>
                <w:rFonts w:ascii="Times New Roman" w:hAnsi="Times New Roman"/>
                <w:sz w:val="28"/>
              </w:rPr>
              <w:t xml:space="preserve">Количество исковых заявлений об оспаривании решений, действий (бездействий) должностных лиц главного управления, направленных контролируемыми лицами в судебном порядке, по которым принято решение об удовлетворении заявленных </w:t>
            </w:r>
            <w:r w:rsidR="00C6096E" w:rsidRPr="00ED27E1">
              <w:rPr>
                <w:rFonts w:ascii="Times New Roman" w:hAnsi="Times New Roman"/>
                <w:sz w:val="28"/>
              </w:rPr>
              <w:t>требований, за отчетный период</w:t>
            </w:r>
          </w:p>
        </w:tc>
      </w:tr>
      <w:tr w:rsidR="00C6096E" w:rsidRPr="00ED27E1" w:rsidTr="00E87545">
        <w:tc>
          <w:tcPr>
            <w:tcW w:w="704" w:type="dxa"/>
            <w:shd w:val="clear" w:color="auto" w:fill="auto"/>
          </w:tcPr>
          <w:p w:rsidR="00C6096E" w:rsidRPr="00ED27E1" w:rsidRDefault="00C6096E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636" w:type="dxa"/>
            <w:shd w:val="clear" w:color="auto" w:fill="auto"/>
          </w:tcPr>
          <w:p w:rsidR="00C6096E" w:rsidRPr="00ED27E1" w:rsidRDefault="00ED27E1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7E1">
              <w:rPr>
                <w:rFonts w:ascii="Times New Roman" w:hAnsi="Times New Roman"/>
                <w:sz w:val="28"/>
                <w:szCs w:val="28"/>
              </w:rPr>
      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      </w:r>
            <w:proofErr w:type="gramStart"/>
            <w:r w:rsidRPr="00ED27E1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proofErr w:type="gramEnd"/>
            <w:r w:rsidRPr="00ED27E1">
              <w:rPr>
                <w:rFonts w:ascii="Times New Roman" w:hAnsi="Times New Roman"/>
                <w:sz w:val="28"/>
                <w:szCs w:val="28"/>
              </w:rPr>
              <w:t xml:space="preserve"> которых были признаны недействительными и (или) отм</w:t>
            </w:r>
            <w:r w:rsidR="00C6096E" w:rsidRPr="00ED27E1">
              <w:rPr>
                <w:rFonts w:ascii="Times New Roman" w:hAnsi="Times New Roman"/>
                <w:sz w:val="28"/>
                <w:szCs w:val="28"/>
              </w:rPr>
              <w:t>енены, за отчетный период»</w:t>
            </w:r>
          </w:p>
        </w:tc>
      </w:tr>
    </w:tbl>
    <w:p w:rsidR="00C6096E" w:rsidRPr="00ED27E1" w:rsidRDefault="00C6096E" w:rsidP="00C6096E">
      <w:pPr>
        <w:tabs>
          <w:tab w:val="left" w:pos="0"/>
        </w:tabs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C6096E" w:rsidRPr="00ED27E1" w:rsidRDefault="00C6096E" w:rsidP="00C6096E">
      <w:pPr>
        <w:tabs>
          <w:tab w:val="left" w:pos="0"/>
        </w:tabs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C6096E" w:rsidRPr="00ED27E1" w:rsidRDefault="00C6096E" w:rsidP="00C6096E">
      <w:pPr>
        <w:tabs>
          <w:tab w:val="left" w:pos="0"/>
        </w:tabs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C6096E" w:rsidRPr="00ED27E1" w:rsidRDefault="00C6096E" w:rsidP="00C6096E">
      <w:pPr>
        <w:tabs>
          <w:tab w:val="left" w:pos="0"/>
        </w:tabs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C6096E" w:rsidRPr="00ED27E1" w:rsidRDefault="00C6096E" w:rsidP="00C6096E">
      <w:pPr>
        <w:tabs>
          <w:tab w:val="left" w:pos="0"/>
        </w:tabs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C6096E" w:rsidRPr="00ED27E1" w:rsidRDefault="00C6096E" w:rsidP="00C6096E">
      <w:pPr>
        <w:tabs>
          <w:tab w:val="left" w:pos="0"/>
        </w:tabs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C6096E" w:rsidRPr="00ED27E1" w:rsidRDefault="00C6096E" w:rsidP="00C6096E">
      <w:pPr>
        <w:tabs>
          <w:tab w:val="left" w:pos="0"/>
        </w:tabs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190FF9" w:rsidRPr="00ED27E1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ED27E1" w:rsidSect="00ED27E1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00" w:rsidRDefault="00966D00">
      <w:r>
        <w:separator/>
      </w:r>
    </w:p>
  </w:endnote>
  <w:endnote w:type="continuationSeparator" w:id="0">
    <w:p w:rsidR="00966D00" w:rsidRDefault="0096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6096E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2521B587" wp14:editId="193DCDB8">
                <wp:extent cx="666750" cy="285750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6096E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309BEDE" wp14:editId="57EC3F3C">
                <wp:extent cx="171450" cy="1428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ED27E1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4088  19.01.2022 11:09:26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00" w:rsidRDefault="00966D00">
      <w:r>
        <w:separator/>
      </w:r>
    </w:p>
  </w:footnote>
  <w:footnote w:type="continuationSeparator" w:id="0">
    <w:p w:rsidR="00966D00" w:rsidRDefault="00966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4739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XVoTngZ/ABpSQggLV5xCkkHvo95MUxyoXwnRiqPVFcN2uUr72JCeLTF7pvctfJl6/wX17ZO04vqrYwi+wAtdw==" w:salt="Rh5/wqBzTnx5a1Z5CX0Gz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7B9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66D00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20B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096E"/>
    <w:rsid w:val="00C61760"/>
    <w:rsid w:val="00C63CD6"/>
    <w:rsid w:val="00C7573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47394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27E1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688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6096E"/>
    <w:pPr>
      <w:ind w:left="720"/>
      <w:contextualSpacing/>
    </w:pPr>
  </w:style>
  <w:style w:type="paragraph" w:customStyle="1" w:styleId="Default">
    <w:name w:val="Default"/>
    <w:rsid w:val="00C6096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6096E"/>
    <w:pPr>
      <w:ind w:left="720"/>
      <w:contextualSpacing/>
    </w:pPr>
  </w:style>
  <w:style w:type="paragraph" w:customStyle="1" w:styleId="Default">
    <w:name w:val="Default"/>
    <w:rsid w:val="00C6096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in\Documents\&#1055;&#1054;&#1044;&#1043;&#1054;&#1058;&#1054;&#1042;&#1050;&#1040;%20&#1056;&#1045;&#1043;&#1048;&#1054;&#1053;&#1040;&#1051;&#1068;&#1053;&#1067;&#1061;%20&#1053;&#1054;&#1056;&#1052;&#1040;&#1058;&#1048;&#1042;&#1053;&#1054;%20&#1055;&#1056;&#1040;&#1042;&#1054;&#1042;&#1061;%20&#1040;&#1050;&#1058;&#1054;&#1042;\&#1096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10</TotalTime>
  <Pages>3</Pages>
  <Words>532</Words>
  <Characters>3687</Characters>
  <Application>Microsoft Office Word</Application>
  <DocSecurity>0</DocSecurity>
  <Lines>92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Владимир Юрьевич Харин</dc:creator>
  <cp:keywords/>
  <dc:description/>
  <cp:lastModifiedBy>Лёксина М.А.</cp:lastModifiedBy>
  <cp:revision>5</cp:revision>
  <cp:lastPrinted>2022-01-19T08:09:00Z</cp:lastPrinted>
  <dcterms:created xsi:type="dcterms:W3CDTF">2022-01-11T09:32:00Z</dcterms:created>
  <dcterms:modified xsi:type="dcterms:W3CDTF">2022-01-25T12:22:00Z</dcterms:modified>
</cp:coreProperties>
</file>