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52639F"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3BC">
        <w:rPr>
          <w:rFonts w:ascii="Times New Roman" w:hAnsi="Times New Roman"/>
          <w:bCs/>
          <w:sz w:val="28"/>
          <w:szCs w:val="28"/>
        </w:rPr>
        <w:t>от 22 февраля 2022 г. № 52</w:t>
      </w:r>
    </w:p>
    <w:p w:rsidR="003D3B8A" w:rsidRPr="003D3B8A" w:rsidRDefault="003D3B8A" w:rsidP="00437F65">
      <w:pPr>
        <w:ind w:right="55"/>
        <w:jc w:val="center"/>
        <w:rPr>
          <w:rFonts w:ascii="Times New Roman" w:hAnsi="Times New Roman"/>
          <w:b/>
          <w:bCs/>
          <w:sz w:val="28"/>
          <w:szCs w:val="28"/>
        </w:rPr>
        <w:sectPr w:rsidR="003D3B8A" w:rsidRPr="003D3B8A" w:rsidSect="00E663BC">
          <w:headerReference w:type="even" r:id="rId9"/>
          <w:headerReference w:type="default" r:id="rId10"/>
          <w:footerReference w:type="even" r:id="rId11"/>
          <w:footerReference w:type="default" r:id="rId12"/>
          <w:headerReference w:type="first" r:id="rId13"/>
          <w:footerReference w:type="first" r:id="rId14"/>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D30AA0" w:rsidRPr="00D30AA0" w:rsidTr="00F25BE0">
        <w:trPr>
          <w:jc w:val="right"/>
        </w:trPr>
        <w:tc>
          <w:tcPr>
            <w:tcW w:w="5000" w:type="pct"/>
            <w:tcMar>
              <w:top w:w="0" w:type="dxa"/>
              <w:left w:w="108" w:type="dxa"/>
              <w:bottom w:w="680" w:type="dxa"/>
              <w:right w:w="108" w:type="dxa"/>
            </w:tcMar>
          </w:tcPr>
          <w:p w:rsidR="00D30AA0" w:rsidRPr="00D30AA0" w:rsidRDefault="00D30AA0" w:rsidP="00D30AA0">
            <w:pPr>
              <w:ind w:right="856"/>
              <w:jc w:val="center"/>
              <w:rPr>
                <w:rFonts w:ascii="Times New Roman" w:hAnsi="Times New Roman"/>
                <w:sz w:val="28"/>
                <w:szCs w:val="28"/>
              </w:rPr>
            </w:pPr>
            <w:bookmarkStart w:id="0" w:name="_GoBack"/>
            <w:bookmarkEnd w:id="0"/>
            <w:r w:rsidRPr="00D30AA0">
              <w:rPr>
                <w:rFonts w:ascii="Times New Roman" w:hAnsi="Times New Roman"/>
                <w:sz w:val="28"/>
                <w:szCs w:val="28"/>
                <w:lang w:val="x-none"/>
              </w:rPr>
              <w:lastRenderedPageBreak/>
              <w:t>О внесении изменени</w:t>
            </w:r>
            <w:r w:rsidRPr="00D30AA0">
              <w:rPr>
                <w:rFonts w:ascii="Times New Roman" w:hAnsi="Times New Roman"/>
                <w:sz w:val="28"/>
                <w:szCs w:val="28"/>
              </w:rPr>
              <w:t>й</w:t>
            </w:r>
            <w:r w:rsidRPr="00D30AA0">
              <w:rPr>
                <w:rFonts w:ascii="Times New Roman" w:hAnsi="Times New Roman"/>
                <w:sz w:val="28"/>
                <w:szCs w:val="28"/>
                <w:lang w:val="x-none"/>
              </w:rPr>
              <w:t xml:space="preserve"> в постановление Правительства</w:t>
            </w:r>
          </w:p>
          <w:p w:rsidR="00D30AA0" w:rsidRPr="00D30AA0" w:rsidRDefault="00D30AA0" w:rsidP="00D30AA0">
            <w:pPr>
              <w:ind w:right="856"/>
              <w:jc w:val="center"/>
              <w:rPr>
                <w:rFonts w:ascii="Times New Roman" w:hAnsi="Times New Roman"/>
                <w:sz w:val="28"/>
                <w:szCs w:val="28"/>
              </w:rPr>
            </w:pPr>
            <w:r w:rsidRPr="00D30AA0">
              <w:rPr>
                <w:rFonts w:ascii="Times New Roman" w:hAnsi="Times New Roman"/>
                <w:sz w:val="28"/>
                <w:szCs w:val="28"/>
                <w:lang w:val="x-none"/>
              </w:rPr>
              <w:t xml:space="preserve">Рязанской области от </w:t>
            </w:r>
            <w:r w:rsidRPr="00D30AA0">
              <w:rPr>
                <w:rFonts w:ascii="Times New Roman" w:hAnsi="Times New Roman"/>
                <w:sz w:val="28"/>
                <w:szCs w:val="28"/>
              </w:rPr>
              <w:t>21</w:t>
            </w:r>
            <w:r w:rsidRPr="00D30AA0">
              <w:rPr>
                <w:rFonts w:ascii="Times New Roman" w:hAnsi="Times New Roman"/>
                <w:sz w:val="28"/>
                <w:szCs w:val="28"/>
                <w:lang w:val="x-none"/>
              </w:rPr>
              <w:t xml:space="preserve"> декабря 2021 г. № 3</w:t>
            </w:r>
            <w:r w:rsidRPr="00D30AA0">
              <w:rPr>
                <w:rFonts w:ascii="Times New Roman" w:hAnsi="Times New Roman"/>
                <w:sz w:val="28"/>
                <w:szCs w:val="28"/>
              </w:rPr>
              <w:t>91</w:t>
            </w:r>
          </w:p>
          <w:p w:rsidR="00D30AA0" w:rsidRPr="00D30AA0" w:rsidRDefault="00D30AA0" w:rsidP="00D30AA0">
            <w:pPr>
              <w:ind w:right="856"/>
              <w:jc w:val="center"/>
              <w:rPr>
                <w:rFonts w:ascii="Times New Roman" w:hAnsi="Times New Roman"/>
                <w:sz w:val="28"/>
                <w:szCs w:val="28"/>
              </w:rPr>
            </w:pPr>
            <w:r w:rsidRPr="00D30AA0">
              <w:rPr>
                <w:rFonts w:ascii="Times New Roman" w:hAnsi="Times New Roman"/>
                <w:sz w:val="28"/>
                <w:szCs w:val="28"/>
                <w:lang w:val="x-none"/>
              </w:rPr>
              <w:t>«О региональном государственном контроле (надзоре) за</w:t>
            </w:r>
          </w:p>
          <w:p w:rsidR="00D30AA0" w:rsidRPr="00D30AA0" w:rsidRDefault="00D30AA0" w:rsidP="00D30AA0">
            <w:pPr>
              <w:ind w:right="856"/>
              <w:jc w:val="center"/>
              <w:rPr>
                <w:rFonts w:ascii="Times New Roman" w:hAnsi="Times New Roman"/>
                <w:sz w:val="28"/>
                <w:szCs w:val="28"/>
              </w:rPr>
            </w:pPr>
            <w:r w:rsidRPr="00D30AA0">
              <w:rPr>
                <w:rFonts w:ascii="Times New Roman" w:hAnsi="Times New Roman"/>
                <w:sz w:val="28"/>
                <w:szCs w:val="28"/>
                <w:lang w:val="x-none"/>
              </w:rPr>
              <w:t>состоянием, содержанием, сохранением, использованием,</w:t>
            </w:r>
          </w:p>
          <w:p w:rsidR="00D30AA0" w:rsidRPr="00D30AA0" w:rsidRDefault="00D30AA0" w:rsidP="00D30AA0">
            <w:pPr>
              <w:ind w:right="856"/>
              <w:jc w:val="center"/>
              <w:rPr>
                <w:rFonts w:ascii="Times New Roman" w:hAnsi="Times New Roman"/>
                <w:sz w:val="28"/>
                <w:szCs w:val="28"/>
              </w:rPr>
            </w:pPr>
            <w:r w:rsidRPr="00D30AA0">
              <w:rPr>
                <w:rFonts w:ascii="Times New Roman" w:hAnsi="Times New Roman"/>
                <w:sz w:val="28"/>
                <w:szCs w:val="28"/>
                <w:lang w:val="x-none"/>
              </w:rPr>
              <w:t>популяризацией и государственной охраной объектов</w:t>
            </w:r>
          </w:p>
          <w:p w:rsidR="00D30AA0" w:rsidRPr="00D30AA0" w:rsidRDefault="00D30AA0" w:rsidP="00D30AA0">
            <w:pPr>
              <w:ind w:right="856"/>
              <w:jc w:val="center"/>
              <w:rPr>
                <w:rFonts w:ascii="Times New Roman" w:hAnsi="Times New Roman"/>
                <w:sz w:val="28"/>
                <w:szCs w:val="28"/>
              </w:rPr>
            </w:pPr>
            <w:r w:rsidRPr="00D30AA0">
              <w:rPr>
                <w:rFonts w:ascii="Times New Roman" w:hAnsi="Times New Roman"/>
                <w:sz w:val="28"/>
                <w:szCs w:val="28"/>
                <w:lang w:val="x-none"/>
              </w:rPr>
              <w:t>культурного наследия регионального значения, объектов</w:t>
            </w:r>
          </w:p>
          <w:p w:rsidR="00D30AA0" w:rsidRPr="00D30AA0" w:rsidRDefault="00D30AA0" w:rsidP="00D30AA0">
            <w:pPr>
              <w:ind w:right="856"/>
              <w:jc w:val="center"/>
              <w:rPr>
                <w:rFonts w:ascii="Times New Roman" w:hAnsi="Times New Roman"/>
                <w:sz w:val="28"/>
                <w:szCs w:val="28"/>
              </w:rPr>
            </w:pPr>
            <w:r w:rsidRPr="00D30AA0">
              <w:rPr>
                <w:rFonts w:ascii="Times New Roman" w:hAnsi="Times New Roman"/>
                <w:sz w:val="28"/>
                <w:szCs w:val="28"/>
                <w:lang w:val="x-none"/>
              </w:rPr>
              <w:t>культурного наследия местного (муниципального) значения,</w:t>
            </w:r>
          </w:p>
          <w:p w:rsidR="00D30AA0" w:rsidRPr="00D30AA0" w:rsidRDefault="00D30AA0" w:rsidP="00D30AA0">
            <w:pPr>
              <w:ind w:right="856"/>
              <w:jc w:val="center"/>
              <w:rPr>
                <w:rFonts w:ascii="Times New Roman" w:hAnsi="Times New Roman"/>
                <w:sz w:val="28"/>
                <w:szCs w:val="28"/>
              </w:rPr>
            </w:pPr>
            <w:r w:rsidRPr="00D30AA0">
              <w:rPr>
                <w:rFonts w:ascii="Times New Roman" w:hAnsi="Times New Roman"/>
                <w:sz w:val="28"/>
                <w:szCs w:val="28"/>
                <w:lang w:val="x-none"/>
              </w:rPr>
              <w:t>выявленных объектов культурного наследия»</w:t>
            </w:r>
          </w:p>
        </w:tc>
      </w:tr>
      <w:tr w:rsidR="00D30AA0" w:rsidRPr="00D30AA0" w:rsidTr="00F25BE0">
        <w:trPr>
          <w:jc w:val="right"/>
        </w:trPr>
        <w:tc>
          <w:tcPr>
            <w:tcW w:w="5000" w:type="pct"/>
          </w:tcPr>
          <w:p w:rsidR="00D30AA0" w:rsidRDefault="00D30AA0" w:rsidP="00D30AA0">
            <w:pPr>
              <w:autoSpaceDE w:val="0"/>
              <w:autoSpaceDN w:val="0"/>
              <w:adjustRightInd w:val="0"/>
              <w:ind w:firstLine="709"/>
              <w:jc w:val="both"/>
              <w:rPr>
                <w:rFonts w:ascii="Times New Roman" w:eastAsia="Calibri" w:hAnsi="Times New Roman"/>
                <w:spacing w:val="2"/>
                <w:sz w:val="28"/>
                <w:szCs w:val="28"/>
                <w:shd w:val="clear" w:color="auto" w:fill="FFFFFF"/>
                <w:lang w:eastAsia="en-US"/>
              </w:rPr>
            </w:pPr>
          </w:p>
          <w:p w:rsidR="00D30AA0" w:rsidRPr="00D30AA0" w:rsidRDefault="00D30AA0" w:rsidP="00D30AA0">
            <w:pPr>
              <w:autoSpaceDE w:val="0"/>
              <w:autoSpaceDN w:val="0"/>
              <w:adjustRightInd w:val="0"/>
              <w:ind w:firstLine="709"/>
              <w:jc w:val="both"/>
              <w:rPr>
                <w:rFonts w:ascii="Times New Roman" w:eastAsia="Calibri" w:hAnsi="Times New Roman"/>
                <w:sz w:val="28"/>
                <w:szCs w:val="28"/>
                <w:lang w:eastAsia="en-US"/>
              </w:rPr>
            </w:pPr>
            <w:r w:rsidRPr="00D30AA0">
              <w:rPr>
                <w:rFonts w:ascii="Times New Roman" w:eastAsia="Calibri" w:hAnsi="Times New Roman"/>
                <w:spacing w:val="2"/>
                <w:sz w:val="28"/>
                <w:szCs w:val="28"/>
                <w:shd w:val="clear" w:color="auto" w:fill="FFFFFF"/>
                <w:lang w:eastAsia="en-US"/>
              </w:rPr>
              <w:t>П</w:t>
            </w:r>
            <w:r w:rsidRPr="00D30AA0">
              <w:rPr>
                <w:rFonts w:ascii="Times New Roman" w:eastAsia="Calibri" w:hAnsi="Times New Roman"/>
                <w:sz w:val="28"/>
                <w:szCs w:val="28"/>
                <w:lang w:eastAsia="en-US"/>
              </w:rPr>
              <w:t xml:space="preserve">равительство Рязанской области </w:t>
            </w:r>
            <w:r w:rsidRPr="00D30AA0">
              <w:rPr>
                <w:rFonts w:ascii="Times New Roman" w:hAnsi="Times New Roman"/>
                <w:sz w:val="28"/>
                <w:szCs w:val="28"/>
              </w:rPr>
              <w:t>ПОСТАНОВЛЯЕТ</w:t>
            </w:r>
            <w:r w:rsidRPr="00D30AA0">
              <w:rPr>
                <w:rFonts w:ascii="Times New Roman" w:eastAsia="Calibri" w:hAnsi="Times New Roman"/>
                <w:sz w:val="28"/>
                <w:szCs w:val="28"/>
                <w:lang w:eastAsia="en-US"/>
              </w:rPr>
              <w:t>:</w:t>
            </w:r>
          </w:p>
          <w:p w:rsidR="00D30AA0" w:rsidRPr="00D30AA0" w:rsidRDefault="00D30AA0" w:rsidP="00D30AA0">
            <w:pPr>
              <w:numPr>
                <w:ilvl w:val="0"/>
                <w:numId w:val="7"/>
              </w:numPr>
              <w:tabs>
                <w:tab w:val="left" w:pos="993"/>
              </w:tabs>
              <w:ind w:left="0" w:firstLine="709"/>
              <w:contextualSpacing/>
              <w:jc w:val="both"/>
              <w:rPr>
                <w:rFonts w:ascii="Times New Roman" w:hAnsi="Times New Roman"/>
                <w:kern w:val="32"/>
                <w:sz w:val="28"/>
                <w:szCs w:val="28"/>
              </w:rPr>
            </w:pPr>
            <w:r w:rsidRPr="00D30AA0">
              <w:rPr>
                <w:rFonts w:ascii="Times New Roman" w:hAnsi="Times New Roman"/>
                <w:sz w:val="28"/>
                <w:szCs w:val="28"/>
              </w:rPr>
              <w:t xml:space="preserve">Внести в постановление Правительства Рязанской области                          от 21 декабря 2021 г. № 391 «О региональном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следующие изменения: </w:t>
            </w:r>
          </w:p>
          <w:p w:rsidR="00D30AA0" w:rsidRPr="00D30AA0" w:rsidRDefault="00D30AA0" w:rsidP="00D30AA0">
            <w:pPr>
              <w:tabs>
                <w:tab w:val="left" w:pos="993"/>
              </w:tabs>
              <w:ind w:firstLine="709"/>
              <w:contextualSpacing/>
              <w:jc w:val="both"/>
              <w:rPr>
                <w:rFonts w:ascii="Times New Roman" w:hAnsi="Times New Roman"/>
                <w:sz w:val="28"/>
                <w:szCs w:val="28"/>
              </w:rPr>
            </w:pPr>
            <w:r w:rsidRPr="00D30AA0">
              <w:rPr>
                <w:rFonts w:ascii="Times New Roman" w:hAnsi="Times New Roman"/>
                <w:sz w:val="28"/>
                <w:szCs w:val="28"/>
              </w:rPr>
              <w:t xml:space="preserve">1) пункт 3 изложить в следующей редакции: </w:t>
            </w:r>
          </w:p>
          <w:p w:rsidR="00D30AA0" w:rsidRPr="00D30AA0" w:rsidRDefault="00D30AA0" w:rsidP="00D30AA0">
            <w:pPr>
              <w:tabs>
                <w:tab w:val="left" w:pos="792"/>
                <w:tab w:val="left" w:pos="993"/>
              </w:tabs>
              <w:ind w:firstLine="709"/>
              <w:contextualSpacing/>
              <w:jc w:val="both"/>
              <w:rPr>
                <w:rFonts w:ascii="Times New Roman" w:hAnsi="Times New Roman"/>
                <w:sz w:val="28"/>
                <w:szCs w:val="28"/>
              </w:rPr>
            </w:pPr>
            <w:r w:rsidRPr="00D30AA0">
              <w:rPr>
                <w:rFonts w:ascii="Times New Roman" w:hAnsi="Times New Roman"/>
                <w:sz w:val="28"/>
                <w:szCs w:val="28"/>
              </w:rPr>
              <w:t>«3. Контроль за исполнением настоящего постановления возложить на заместителя Председателя Правительства Рязанской области</w:t>
            </w:r>
            <w:r w:rsidR="00752F13">
              <w:rPr>
                <w:rFonts w:ascii="Times New Roman" w:hAnsi="Times New Roman"/>
                <w:sz w:val="28"/>
                <w:szCs w:val="28"/>
              </w:rPr>
              <w:t xml:space="preserve"> </w:t>
            </w:r>
            <w:r w:rsidRPr="00D30AA0">
              <w:rPr>
                <w:rFonts w:ascii="Times New Roman" w:hAnsi="Times New Roman"/>
                <w:sz w:val="28"/>
                <w:szCs w:val="28"/>
              </w:rPr>
              <w:t>(в социальной сфере)</w:t>
            </w:r>
            <w:proofErr w:type="gramStart"/>
            <w:r w:rsidRPr="00D30AA0">
              <w:rPr>
                <w:rFonts w:ascii="Times New Roman" w:hAnsi="Times New Roman"/>
                <w:sz w:val="28"/>
                <w:szCs w:val="28"/>
              </w:rPr>
              <w:t>.»</w:t>
            </w:r>
            <w:proofErr w:type="gramEnd"/>
            <w:r w:rsidRPr="00D30AA0">
              <w:rPr>
                <w:rFonts w:ascii="Times New Roman" w:hAnsi="Times New Roman"/>
                <w:sz w:val="28"/>
                <w:szCs w:val="28"/>
              </w:rPr>
              <w:t>;</w:t>
            </w:r>
          </w:p>
          <w:p w:rsidR="00D30AA0" w:rsidRPr="00D30AA0" w:rsidRDefault="00D30AA0" w:rsidP="00D30AA0">
            <w:pPr>
              <w:tabs>
                <w:tab w:val="left" w:pos="717"/>
                <w:tab w:val="left" w:pos="993"/>
              </w:tabs>
              <w:ind w:firstLine="709"/>
              <w:contextualSpacing/>
              <w:jc w:val="both"/>
              <w:rPr>
                <w:rFonts w:ascii="Times New Roman" w:hAnsi="Times New Roman"/>
                <w:sz w:val="28"/>
                <w:szCs w:val="28"/>
              </w:rPr>
            </w:pPr>
            <w:r w:rsidRPr="00D30AA0">
              <w:rPr>
                <w:rFonts w:ascii="Times New Roman" w:hAnsi="Times New Roman"/>
                <w:sz w:val="28"/>
                <w:szCs w:val="28"/>
              </w:rPr>
              <w:t>2) приложение дополнить разделом VIII следующего содержания:</w:t>
            </w:r>
          </w:p>
          <w:p w:rsidR="00D30AA0" w:rsidRPr="00D30AA0" w:rsidRDefault="00D30AA0" w:rsidP="00D30AA0">
            <w:pPr>
              <w:tabs>
                <w:tab w:val="left" w:pos="993"/>
              </w:tabs>
              <w:contextualSpacing/>
              <w:jc w:val="both"/>
              <w:rPr>
                <w:rFonts w:ascii="Times New Roman" w:hAnsi="Times New Roman"/>
                <w:kern w:val="32"/>
                <w:sz w:val="28"/>
                <w:szCs w:val="28"/>
              </w:rPr>
            </w:pPr>
          </w:p>
          <w:p w:rsidR="00D30AA0" w:rsidRDefault="00D30AA0" w:rsidP="00D30AA0">
            <w:pPr>
              <w:tabs>
                <w:tab w:val="left" w:pos="-7088"/>
              </w:tabs>
              <w:contextualSpacing/>
              <w:jc w:val="center"/>
              <w:rPr>
                <w:rFonts w:ascii="Times New Roman" w:hAnsi="Times New Roman"/>
                <w:sz w:val="28"/>
                <w:szCs w:val="28"/>
              </w:rPr>
            </w:pPr>
            <w:r w:rsidRPr="00D30AA0">
              <w:rPr>
                <w:rFonts w:ascii="Times New Roman" w:hAnsi="Times New Roman"/>
                <w:sz w:val="28"/>
                <w:szCs w:val="28"/>
              </w:rPr>
              <w:t>«V</w:t>
            </w:r>
            <w:r w:rsidRPr="00D30AA0">
              <w:rPr>
                <w:rFonts w:ascii="Times New Roman" w:hAnsi="Times New Roman"/>
                <w:sz w:val="28"/>
                <w:szCs w:val="28"/>
                <w:lang w:val="en-US"/>
              </w:rPr>
              <w:t>III</w:t>
            </w:r>
            <w:r w:rsidRPr="00D30AA0">
              <w:rPr>
                <w:rFonts w:ascii="Times New Roman" w:hAnsi="Times New Roman"/>
                <w:sz w:val="28"/>
                <w:szCs w:val="28"/>
              </w:rPr>
              <w:t xml:space="preserve">. Ключевой показатель </w:t>
            </w:r>
            <w:proofErr w:type="gramStart"/>
            <w:r w:rsidRPr="00D30AA0">
              <w:rPr>
                <w:rFonts w:ascii="Times New Roman" w:hAnsi="Times New Roman"/>
                <w:sz w:val="28"/>
                <w:szCs w:val="28"/>
              </w:rPr>
              <w:t>регионального</w:t>
            </w:r>
            <w:proofErr w:type="gramEnd"/>
            <w:r w:rsidRPr="00D30AA0">
              <w:rPr>
                <w:rFonts w:ascii="Times New Roman" w:hAnsi="Times New Roman"/>
                <w:sz w:val="28"/>
                <w:szCs w:val="28"/>
              </w:rPr>
              <w:t xml:space="preserve"> государственного</w:t>
            </w:r>
          </w:p>
          <w:p w:rsidR="00D30AA0" w:rsidRDefault="00D30AA0" w:rsidP="00D30AA0">
            <w:pPr>
              <w:tabs>
                <w:tab w:val="left" w:pos="993"/>
              </w:tabs>
              <w:contextualSpacing/>
              <w:jc w:val="center"/>
              <w:rPr>
                <w:rFonts w:ascii="Times New Roman" w:hAnsi="Times New Roman"/>
                <w:sz w:val="28"/>
                <w:szCs w:val="28"/>
              </w:rPr>
            </w:pPr>
            <w:r w:rsidRPr="00D30AA0">
              <w:rPr>
                <w:rFonts w:ascii="Times New Roman" w:hAnsi="Times New Roman"/>
                <w:sz w:val="28"/>
                <w:szCs w:val="28"/>
              </w:rPr>
              <w:t>контроля (надзора) и его целевое значение,</w:t>
            </w:r>
            <w:r>
              <w:rPr>
                <w:rFonts w:ascii="Times New Roman" w:hAnsi="Times New Roman"/>
                <w:sz w:val="28"/>
                <w:szCs w:val="28"/>
              </w:rPr>
              <w:t xml:space="preserve"> </w:t>
            </w:r>
            <w:proofErr w:type="gramStart"/>
            <w:r w:rsidRPr="00D30AA0">
              <w:rPr>
                <w:rFonts w:ascii="Times New Roman" w:hAnsi="Times New Roman"/>
                <w:sz w:val="28"/>
                <w:szCs w:val="28"/>
              </w:rPr>
              <w:t>индикативные</w:t>
            </w:r>
            <w:proofErr w:type="gramEnd"/>
          </w:p>
          <w:p w:rsidR="00D30AA0" w:rsidRPr="00D30AA0" w:rsidRDefault="00D30AA0" w:rsidP="00D30AA0">
            <w:pPr>
              <w:tabs>
                <w:tab w:val="left" w:pos="993"/>
              </w:tabs>
              <w:contextualSpacing/>
              <w:jc w:val="center"/>
              <w:rPr>
                <w:rFonts w:ascii="Times New Roman" w:hAnsi="Times New Roman"/>
                <w:sz w:val="28"/>
                <w:szCs w:val="28"/>
              </w:rPr>
            </w:pPr>
            <w:r w:rsidRPr="00D30AA0">
              <w:rPr>
                <w:rFonts w:ascii="Times New Roman" w:hAnsi="Times New Roman"/>
                <w:sz w:val="28"/>
                <w:szCs w:val="28"/>
              </w:rPr>
              <w:t>показатели для регионального</w:t>
            </w:r>
            <w:r>
              <w:rPr>
                <w:rFonts w:ascii="Times New Roman" w:hAnsi="Times New Roman"/>
                <w:sz w:val="28"/>
                <w:szCs w:val="28"/>
              </w:rPr>
              <w:t xml:space="preserve"> </w:t>
            </w:r>
            <w:r w:rsidRPr="00D30AA0">
              <w:rPr>
                <w:rFonts w:ascii="Times New Roman" w:hAnsi="Times New Roman"/>
                <w:sz w:val="28"/>
                <w:szCs w:val="28"/>
              </w:rPr>
              <w:t>государственного контроля (надзора)</w:t>
            </w:r>
          </w:p>
          <w:p w:rsidR="00D30AA0" w:rsidRPr="00D30AA0" w:rsidRDefault="00D30AA0" w:rsidP="00D30AA0">
            <w:pPr>
              <w:tabs>
                <w:tab w:val="left" w:pos="993"/>
              </w:tabs>
              <w:contextualSpacing/>
              <w:jc w:val="center"/>
              <w:rPr>
                <w:rFonts w:ascii="Times New Roman" w:hAnsi="Times New Roman"/>
                <w:kern w:val="32"/>
                <w:sz w:val="28"/>
                <w:szCs w:val="28"/>
              </w:rPr>
            </w:pPr>
          </w:p>
          <w:p w:rsidR="00D30AA0" w:rsidRPr="00D30AA0" w:rsidRDefault="00D30AA0" w:rsidP="00D30AA0">
            <w:pPr>
              <w:tabs>
                <w:tab w:val="left" w:pos="993"/>
              </w:tabs>
              <w:ind w:firstLine="743"/>
              <w:contextualSpacing/>
              <w:jc w:val="both"/>
              <w:rPr>
                <w:rFonts w:ascii="Times New Roman" w:hAnsi="Times New Roman"/>
                <w:sz w:val="28"/>
                <w:szCs w:val="28"/>
              </w:rPr>
            </w:pPr>
            <w:r w:rsidRPr="00D30AA0">
              <w:rPr>
                <w:rFonts w:ascii="Times New Roman" w:hAnsi="Times New Roman"/>
                <w:kern w:val="32"/>
                <w:sz w:val="28"/>
                <w:szCs w:val="28"/>
              </w:rPr>
              <w:t>65.</w:t>
            </w:r>
            <w:r>
              <w:rPr>
                <w:rFonts w:ascii="Times New Roman" w:hAnsi="Times New Roman"/>
                <w:kern w:val="32"/>
                <w:sz w:val="28"/>
                <w:szCs w:val="28"/>
              </w:rPr>
              <w:t> </w:t>
            </w:r>
            <w:r w:rsidRPr="00D30AA0">
              <w:rPr>
                <w:rFonts w:ascii="Times New Roman" w:hAnsi="Times New Roman"/>
                <w:kern w:val="32"/>
                <w:sz w:val="28"/>
                <w:szCs w:val="28"/>
              </w:rPr>
              <w:t>Ключевой показатель регионального государственного контроля (надзора) и его целевое значение:</w:t>
            </w:r>
          </w:p>
        </w:tc>
      </w:tr>
    </w:tbl>
    <w:p w:rsidR="00D30AA0" w:rsidRPr="00D30AA0" w:rsidRDefault="00D30AA0">
      <w:pPr>
        <w:rPr>
          <w:rFonts w:ascii="Times New Roman" w:hAnsi="Times New Roman"/>
        </w:rPr>
      </w:pPr>
    </w:p>
    <w:tbl>
      <w:tblPr>
        <w:tblOverlap w:val="never"/>
        <w:tblW w:w="9412" w:type="dxa"/>
        <w:tblInd w:w="10" w:type="dxa"/>
        <w:tblCellMar>
          <w:left w:w="10" w:type="dxa"/>
          <w:right w:w="10" w:type="dxa"/>
        </w:tblCellMar>
        <w:tblLook w:val="0000" w:firstRow="0" w:lastRow="0" w:firstColumn="0" w:lastColumn="0" w:noHBand="0" w:noVBand="0"/>
      </w:tblPr>
      <w:tblGrid>
        <w:gridCol w:w="6624"/>
        <w:gridCol w:w="1467"/>
        <w:gridCol w:w="1321"/>
      </w:tblGrid>
      <w:tr w:rsidR="00D30AA0" w:rsidRPr="00D30AA0" w:rsidTr="006173A2">
        <w:trPr>
          <w:cantSplit/>
          <w:trHeight w:val="729"/>
        </w:trPr>
        <w:tc>
          <w:tcPr>
            <w:tcW w:w="6398" w:type="dxa"/>
            <w:tcBorders>
              <w:top w:val="single" w:sz="4" w:space="0" w:color="auto"/>
              <w:left w:val="single" w:sz="4" w:space="0" w:color="auto"/>
            </w:tcBorders>
            <w:shd w:val="clear" w:color="auto" w:fill="FFFFFF"/>
            <w:vAlign w:val="center"/>
          </w:tcPr>
          <w:p w:rsidR="00D30AA0" w:rsidRPr="00D30AA0" w:rsidRDefault="00D30AA0" w:rsidP="00D30AA0">
            <w:pPr>
              <w:spacing w:line="230" w:lineRule="auto"/>
              <w:jc w:val="center"/>
              <w:rPr>
                <w:rFonts w:ascii="Times New Roman" w:hAnsi="Times New Roman"/>
                <w:sz w:val="28"/>
                <w:szCs w:val="28"/>
              </w:rPr>
            </w:pPr>
            <w:r w:rsidRPr="00D30AA0">
              <w:rPr>
                <w:rFonts w:ascii="Times New Roman" w:hAnsi="Times New Roman"/>
                <w:sz w:val="28"/>
                <w:szCs w:val="28"/>
              </w:rPr>
              <w:lastRenderedPageBreak/>
              <w:t>Наименование показателя</w:t>
            </w:r>
          </w:p>
        </w:tc>
        <w:tc>
          <w:tcPr>
            <w:tcW w:w="1417" w:type="dxa"/>
            <w:tcBorders>
              <w:top w:val="single" w:sz="4" w:space="0" w:color="auto"/>
              <w:left w:val="single" w:sz="4" w:space="0" w:color="auto"/>
            </w:tcBorders>
            <w:shd w:val="clear" w:color="auto" w:fill="FFFFFF"/>
            <w:vAlign w:val="center"/>
          </w:tcPr>
          <w:p w:rsidR="00D30AA0" w:rsidRPr="00D30AA0" w:rsidRDefault="00D30AA0" w:rsidP="00D30AA0">
            <w:pPr>
              <w:spacing w:line="230" w:lineRule="auto"/>
              <w:jc w:val="center"/>
              <w:rPr>
                <w:rFonts w:ascii="Times New Roman" w:hAnsi="Times New Roman"/>
                <w:sz w:val="28"/>
                <w:szCs w:val="28"/>
              </w:rPr>
            </w:pPr>
            <w:r w:rsidRPr="00D30AA0">
              <w:rPr>
                <w:rFonts w:ascii="Times New Roman" w:hAnsi="Times New Roman"/>
                <w:sz w:val="28"/>
                <w:szCs w:val="28"/>
              </w:rPr>
              <w:t>Единица измерения</w:t>
            </w:r>
          </w:p>
        </w:tc>
        <w:tc>
          <w:tcPr>
            <w:tcW w:w="1276" w:type="dxa"/>
            <w:tcBorders>
              <w:top w:val="single" w:sz="4" w:space="0" w:color="auto"/>
              <w:left w:val="single" w:sz="4" w:space="0" w:color="auto"/>
              <w:right w:val="single" w:sz="4" w:space="0" w:color="auto"/>
            </w:tcBorders>
            <w:shd w:val="clear" w:color="auto" w:fill="FFFFFF"/>
            <w:vAlign w:val="center"/>
          </w:tcPr>
          <w:p w:rsidR="00D30AA0" w:rsidRPr="00D30AA0" w:rsidRDefault="00D30AA0" w:rsidP="00D30AA0">
            <w:pPr>
              <w:spacing w:line="230" w:lineRule="auto"/>
              <w:jc w:val="center"/>
              <w:rPr>
                <w:rFonts w:ascii="Times New Roman" w:hAnsi="Times New Roman"/>
                <w:sz w:val="28"/>
                <w:szCs w:val="28"/>
              </w:rPr>
            </w:pPr>
            <w:r w:rsidRPr="00D30AA0">
              <w:rPr>
                <w:rFonts w:ascii="Times New Roman" w:hAnsi="Times New Roman"/>
                <w:sz w:val="28"/>
                <w:szCs w:val="28"/>
              </w:rPr>
              <w:t>Целевое</w:t>
            </w:r>
          </w:p>
          <w:p w:rsidR="00D30AA0" w:rsidRPr="00D30AA0" w:rsidRDefault="00D30AA0" w:rsidP="00D30AA0">
            <w:pPr>
              <w:spacing w:line="230" w:lineRule="auto"/>
              <w:jc w:val="center"/>
              <w:rPr>
                <w:rFonts w:ascii="Times New Roman" w:hAnsi="Times New Roman"/>
                <w:sz w:val="28"/>
                <w:szCs w:val="28"/>
              </w:rPr>
            </w:pPr>
            <w:r w:rsidRPr="00D30AA0">
              <w:rPr>
                <w:rFonts w:ascii="Times New Roman" w:hAnsi="Times New Roman"/>
                <w:sz w:val="28"/>
                <w:szCs w:val="28"/>
              </w:rPr>
              <w:t>значение</w:t>
            </w:r>
          </w:p>
        </w:tc>
      </w:tr>
      <w:tr w:rsidR="00D30AA0" w:rsidRPr="00D30AA0" w:rsidTr="00D30AA0">
        <w:trPr>
          <w:cantSplit/>
          <w:trHeight w:val="2741"/>
        </w:trPr>
        <w:tc>
          <w:tcPr>
            <w:tcW w:w="6398"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sz w:val="28"/>
                <w:szCs w:val="28"/>
              </w:rPr>
            </w:pPr>
            <w:r w:rsidRPr="00D30AA0">
              <w:rPr>
                <w:color w:val="000000"/>
                <w:sz w:val="28"/>
                <w:szCs w:val="28"/>
                <w:lang w:bidi="ru-RU"/>
              </w:rPr>
              <w:t>Доля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утраченных в результате нарушения требований законодательства в области охраны  объектов культурного наследия, рассчитываемая от общего количества таких объектов, расположенных на территории Рязанской области</w:t>
            </w:r>
          </w:p>
        </w:tc>
        <w:tc>
          <w:tcPr>
            <w:tcW w:w="1417"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sz w:val="28"/>
                <w:szCs w:val="28"/>
              </w:rPr>
            </w:pPr>
            <w:r w:rsidRPr="00D30AA0">
              <w:rPr>
                <w:color w:val="000000"/>
                <w:sz w:val="28"/>
                <w:szCs w:val="28"/>
                <w:lang w:bidi="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jc w:val="center"/>
              <w:rPr>
                <w:sz w:val="28"/>
                <w:szCs w:val="28"/>
              </w:rPr>
            </w:pPr>
            <w:r w:rsidRPr="00D30AA0">
              <w:rPr>
                <w:color w:val="000000"/>
                <w:sz w:val="28"/>
                <w:szCs w:val="28"/>
                <w:lang w:bidi="ru-RU"/>
              </w:rPr>
              <w:t>0,5</w:t>
            </w:r>
          </w:p>
        </w:tc>
      </w:tr>
    </w:tbl>
    <w:p w:rsidR="00D30AA0" w:rsidRPr="00D30AA0" w:rsidRDefault="00D30AA0" w:rsidP="00D30AA0">
      <w:pPr>
        <w:spacing w:line="230" w:lineRule="auto"/>
        <w:rPr>
          <w:rFonts w:ascii="Times New Roman" w:hAnsi="Times New Roman"/>
          <w:sz w:val="6"/>
          <w:szCs w:val="6"/>
        </w:rPr>
      </w:pPr>
    </w:p>
    <w:tbl>
      <w:tblPr>
        <w:tblW w:w="5000" w:type="pct"/>
        <w:jc w:val="right"/>
        <w:tblLook w:val="01E0" w:firstRow="1" w:lastRow="1" w:firstColumn="1" w:lastColumn="1" w:noHBand="0" w:noVBand="0"/>
      </w:tblPr>
      <w:tblGrid>
        <w:gridCol w:w="9571"/>
      </w:tblGrid>
      <w:tr w:rsidR="00D30AA0" w:rsidRPr="00D30AA0" w:rsidTr="00F25BE0">
        <w:trPr>
          <w:jc w:val="right"/>
        </w:trPr>
        <w:tc>
          <w:tcPr>
            <w:tcW w:w="5000" w:type="pct"/>
          </w:tcPr>
          <w:p w:rsidR="00D30AA0" w:rsidRPr="00D30AA0" w:rsidRDefault="00D30AA0" w:rsidP="00D30AA0">
            <w:pPr>
              <w:tabs>
                <w:tab w:val="left" w:pos="993"/>
              </w:tabs>
              <w:spacing w:line="230" w:lineRule="auto"/>
              <w:ind w:left="34" w:firstLine="709"/>
              <w:contextualSpacing/>
              <w:jc w:val="both"/>
              <w:rPr>
                <w:rFonts w:ascii="Times New Roman" w:eastAsia="Calibri" w:hAnsi="Times New Roman"/>
                <w:spacing w:val="2"/>
                <w:sz w:val="28"/>
                <w:szCs w:val="28"/>
                <w:shd w:val="clear" w:color="auto" w:fill="FFFFFF"/>
                <w:lang w:eastAsia="en-US"/>
              </w:rPr>
            </w:pPr>
            <w:r w:rsidRPr="00D30AA0">
              <w:rPr>
                <w:rFonts w:ascii="Times New Roman" w:hAnsi="Times New Roman"/>
                <w:kern w:val="32"/>
                <w:sz w:val="28"/>
                <w:szCs w:val="28"/>
              </w:rPr>
              <w:t>66. Индикативные показатели для регионального государственного контроля (надзора):</w:t>
            </w:r>
          </w:p>
        </w:tc>
      </w:tr>
    </w:tbl>
    <w:p w:rsidR="00D30AA0" w:rsidRPr="00D30AA0" w:rsidRDefault="00D30AA0" w:rsidP="00D30AA0">
      <w:pPr>
        <w:spacing w:line="230" w:lineRule="auto"/>
        <w:rPr>
          <w:rFonts w:ascii="Times New Roman" w:hAnsi="Times New Roman"/>
          <w:sz w:val="6"/>
          <w:szCs w:val="6"/>
        </w:rPr>
      </w:pPr>
    </w:p>
    <w:tbl>
      <w:tblPr>
        <w:tblOverlap w:val="never"/>
        <w:tblW w:w="9412" w:type="dxa"/>
        <w:tblInd w:w="10" w:type="dxa"/>
        <w:tblCellMar>
          <w:left w:w="10" w:type="dxa"/>
          <w:right w:w="10" w:type="dxa"/>
        </w:tblCellMar>
        <w:tblLook w:val="0000" w:firstRow="0" w:lastRow="0" w:firstColumn="0" w:lastColumn="0" w:noHBand="0" w:noVBand="0"/>
      </w:tblPr>
      <w:tblGrid>
        <w:gridCol w:w="1043"/>
        <w:gridCol w:w="8369"/>
      </w:tblGrid>
      <w:tr w:rsidR="00D30AA0" w:rsidRPr="00D30AA0" w:rsidTr="00D30AA0">
        <w:trPr>
          <w:cantSplit/>
          <w:trHeight w:val="616"/>
        </w:trPr>
        <w:tc>
          <w:tcPr>
            <w:tcW w:w="1043" w:type="dxa"/>
            <w:tcBorders>
              <w:top w:val="single" w:sz="4" w:space="0" w:color="auto"/>
              <w:left w:val="single" w:sz="4" w:space="0" w:color="auto"/>
            </w:tcBorders>
            <w:shd w:val="clear" w:color="auto" w:fill="FFFFFF"/>
          </w:tcPr>
          <w:p w:rsid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w:t>
            </w:r>
          </w:p>
          <w:p w:rsidR="00D30AA0" w:rsidRPr="00D30AA0" w:rsidRDefault="00D30AA0" w:rsidP="00D30AA0">
            <w:pPr>
              <w:pStyle w:val="af"/>
              <w:shd w:val="clear" w:color="auto" w:fill="auto"/>
              <w:spacing w:line="230" w:lineRule="auto"/>
              <w:jc w:val="center"/>
              <w:rPr>
                <w:sz w:val="28"/>
                <w:szCs w:val="28"/>
              </w:rPr>
            </w:pPr>
            <w:proofErr w:type="gramStart"/>
            <w:r w:rsidRPr="00D30AA0">
              <w:rPr>
                <w:color w:val="000000"/>
                <w:sz w:val="28"/>
                <w:szCs w:val="28"/>
                <w:lang w:bidi="ru-RU"/>
              </w:rPr>
              <w:t>п</w:t>
            </w:r>
            <w:proofErr w:type="gramEnd"/>
            <w:r w:rsidRPr="00D30AA0">
              <w:rPr>
                <w:color w:val="000000"/>
                <w:sz w:val="28"/>
                <w:szCs w:val="28"/>
                <w:lang w:bidi="ru-RU"/>
              </w:rPr>
              <w:t>/п</w:t>
            </w:r>
          </w:p>
        </w:tc>
        <w:tc>
          <w:tcPr>
            <w:tcW w:w="8369" w:type="dxa"/>
            <w:tcBorders>
              <w:top w:val="single" w:sz="4" w:space="0" w:color="auto"/>
              <w:left w:val="single" w:sz="4" w:space="0" w:color="auto"/>
              <w:right w:val="single" w:sz="4" w:space="0" w:color="auto"/>
            </w:tcBorders>
            <w:shd w:val="clear" w:color="auto" w:fill="FFFFFF"/>
            <w:vAlign w:val="center"/>
          </w:tcPr>
          <w:p w:rsidR="00D30AA0" w:rsidRPr="00D30AA0" w:rsidRDefault="00D30AA0" w:rsidP="00D30AA0">
            <w:pPr>
              <w:pStyle w:val="af"/>
              <w:shd w:val="clear" w:color="auto" w:fill="auto"/>
              <w:spacing w:line="230" w:lineRule="auto"/>
              <w:jc w:val="center"/>
              <w:rPr>
                <w:sz w:val="28"/>
                <w:szCs w:val="28"/>
              </w:rPr>
            </w:pPr>
            <w:r w:rsidRPr="00D30AA0">
              <w:rPr>
                <w:color w:val="000000"/>
                <w:sz w:val="28"/>
                <w:szCs w:val="28"/>
                <w:lang w:bidi="ru-RU"/>
              </w:rPr>
              <w:t>Наименование показателя</w:t>
            </w:r>
          </w:p>
        </w:tc>
      </w:tr>
    </w:tbl>
    <w:p w:rsidR="00D30AA0" w:rsidRPr="00D30AA0" w:rsidRDefault="00D30AA0" w:rsidP="00D30AA0">
      <w:pPr>
        <w:spacing w:line="230" w:lineRule="auto"/>
        <w:rPr>
          <w:rFonts w:ascii="Times New Roman" w:hAnsi="Times New Roman"/>
          <w:sz w:val="2"/>
          <w:szCs w:val="2"/>
        </w:rPr>
      </w:pPr>
    </w:p>
    <w:tbl>
      <w:tblPr>
        <w:tblOverlap w:val="never"/>
        <w:tblW w:w="9412" w:type="dxa"/>
        <w:tblInd w:w="10" w:type="dxa"/>
        <w:tblCellMar>
          <w:left w:w="10" w:type="dxa"/>
          <w:right w:w="10" w:type="dxa"/>
        </w:tblCellMar>
        <w:tblLook w:val="0000" w:firstRow="0" w:lastRow="0" w:firstColumn="0" w:lastColumn="0" w:noHBand="0" w:noVBand="0"/>
      </w:tblPr>
      <w:tblGrid>
        <w:gridCol w:w="1043"/>
        <w:gridCol w:w="8369"/>
      </w:tblGrid>
      <w:tr w:rsidR="00D30AA0" w:rsidRPr="00D30AA0" w:rsidTr="00D30AA0">
        <w:trPr>
          <w:trHeight w:val="323"/>
          <w:tblHeader/>
        </w:trPr>
        <w:tc>
          <w:tcPr>
            <w:tcW w:w="1043" w:type="dxa"/>
            <w:tcBorders>
              <w:top w:val="single" w:sz="4" w:space="0" w:color="auto"/>
              <w:left w:val="single" w:sz="4" w:space="0" w:color="auto"/>
            </w:tcBorders>
            <w:shd w:val="clear" w:color="auto" w:fill="FFFFFF"/>
          </w:tcPr>
          <w:p w:rsidR="00D30AA0" w:rsidRPr="00D30AA0" w:rsidRDefault="00D30AA0" w:rsidP="00D30AA0">
            <w:pPr>
              <w:spacing w:line="230" w:lineRule="auto"/>
              <w:jc w:val="center"/>
              <w:rPr>
                <w:rFonts w:ascii="Times New Roman" w:hAnsi="Times New Roman"/>
                <w:sz w:val="28"/>
                <w:szCs w:val="28"/>
              </w:rPr>
            </w:pPr>
            <w:r w:rsidRPr="00D30AA0">
              <w:rPr>
                <w:rFonts w:ascii="Times New Roman" w:hAnsi="Times New Roman"/>
                <w:sz w:val="28"/>
                <w:szCs w:val="28"/>
              </w:rPr>
              <w:t>1</w:t>
            </w:r>
          </w:p>
        </w:tc>
        <w:tc>
          <w:tcPr>
            <w:tcW w:w="8369" w:type="dxa"/>
            <w:tcBorders>
              <w:top w:val="single" w:sz="4" w:space="0" w:color="auto"/>
              <w:left w:val="single" w:sz="4" w:space="0" w:color="auto"/>
              <w:right w:val="single" w:sz="4" w:space="0" w:color="auto"/>
            </w:tcBorders>
            <w:shd w:val="clear" w:color="auto" w:fill="FFFFFF"/>
            <w:vAlign w:val="center"/>
          </w:tcPr>
          <w:p w:rsidR="00D30AA0" w:rsidRPr="00D30AA0" w:rsidRDefault="00D30AA0" w:rsidP="00D30AA0">
            <w:pPr>
              <w:spacing w:line="230" w:lineRule="auto"/>
              <w:jc w:val="center"/>
              <w:rPr>
                <w:rFonts w:ascii="Times New Roman" w:hAnsi="Times New Roman"/>
                <w:sz w:val="28"/>
                <w:szCs w:val="28"/>
              </w:rPr>
            </w:pPr>
            <w:r w:rsidRPr="00D30AA0">
              <w:rPr>
                <w:rFonts w:ascii="Times New Roman" w:hAnsi="Times New Roman"/>
                <w:sz w:val="28"/>
                <w:szCs w:val="28"/>
              </w:rPr>
              <w:t>2</w:t>
            </w:r>
          </w:p>
        </w:tc>
      </w:tr>
      <w:tr w:rsidR="00D30AA0" w:rsidRPr="00D30AA0" w:rsidTr="00D30AA0">
        <w:trPr>
          <w:cantSplit/>
          <w:trHeight w:hRule="exact" w:val="688"/>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sz w:val="28"/>
                <w:szCs w:val="28"/>
              </w:rPr>
            </w:pPr>
            <w:r w:rsidRPr="00D30AA0">
              <w:rPr>
                <w:color w:val="000000"/>
                <w:sz w:val="28"/>
                <w:szCs w:val="28"/>
                <w:lang w:bidi="ru-RU"/>
              </w:rPr>
              <w:t>1</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sz w:val="28"/>
                <w:szCs w:val="28"/>
              </w:rPr>
            </w:pPr>
            <w:r w:rsidRPr="00D30AA0">
              <w:rPr>
                <w:color w:val="000000"/>
                <w:sz w:val="28"/>
                <w:szCs w:val="28"/>
                <w:lang w:bidi="ru-RU"/>
              </w:rPr>
              <w:t>Количество внеплановых контрольных (надзорных) мероприятий, проведенных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2</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3</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742CB">
            <w:pPr>
              <w:pStyle w:val="af"/>
              <w:shd w:val="clear" w:color="auto" w:fill="auto"/>
              <w:spacing w:line="230" w:lineRule="auto"/>
              <w:ind w:left="132" w:right="160"/>
              <w:rPr>
                <w:color w:val="000000"/>
                <w:sz w:val="28"/>
                <w:szCs w:val="28"/>
                <w:lang w:bidi="ru-RU"/>
              </w:rPr>
            </w:pPr>
            <w:r w:rsidRPr="00D30AA0">
              <w:rPr>
                <w:color w:val="000000"/>
                <w:sz w:val="28"/>
                <w:szCs w:val="28"/>
                <w:lang w:bidi="ru-RU"/>
              </w:rPr>
              <w:t>Общее количество контрольных (надзорных) мероприятий с взаимодействием, проведенных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4</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742CB">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5</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6</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обязательных профилактических визитов, проведенных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7</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предостережений о недопустимости нарушения обязательных требований, объявленных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8</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9</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10</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Сумма административных штрафов, наложенных по результатам контрольных (надзорных) мероприятий,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lastRenderedPageBreak/>
              <w:t>11</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12</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13</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Общее количество учтенных объектов контроля на конец отчетного периода</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14</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учтенных объектов контроля, отнесенных к категориям риска, по каждой из категорий риска, на конец отчетного периода</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15</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учтенных контролируемых лиц на конец отчетного периода</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16</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учтенных контролируемых лиц, в отношении которых проведены контрольные (надзорные) мероприятия,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17</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Общее количество жалоб, поданных контролируемыми лицами в досудебном порядке,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18</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жалоб, в отношении которых контрольным органом был нарушен срок рассмотрения,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19</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 xml:space="preserve">Количество жалоб, поданных контролируемыми лицами в досудебном порядке, по </w:t>
            </w:r>
            <w:proofErr w:type="gramStart"/>
            <w:r w:rsidRPr="00D30AA0">
              <w:rPr>
                <w:color w:val="000000"/>
                <w:sz w:val="28"/>
                <w:szCs w:val="28"/>
                <w:lang w:bidi="ru-RU"/>
              </w:rPr>
              <w:t>итогам</w:t>
            </w:r>
            <w:proofErr w:type="gramEnd"/>
            <w:r w:rsidRPr="00D30AA0">
              <w:rPr>
                <w:color w:val="000000"/>
                <w:sz w:val="28"/>
                <w:szCs w:val="28"/>
                <w:lang w:bidi="ru-RU"/>
              </w:rPr>
              <w:t xml:space="preserve"> рассмотрения которых принято решение о полной</w:t>
            </w:r>
            <w:r>
              <w:rPr>
                <w:color w:val="000000"/>
                <w:sz w:val="28"/>
                <w:szCs w:val="28"/>
                <w:lang w:bidi="ru-RU"/>
              </w:rPr>
              <w:t>,</w:t>
            </w:r>
            <w:r w:rsidRPr="00D30AA0">
              <w:rPr>
                <w:color w:val="000000"/>
                <w:sz w:val="28"/>
                <w:szCs w:val="28"/>
                <w:lang w:bidi="ru-RU"/>
              </w:rPr>
              <w:t xml:space="preserve">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20</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21</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D30AA0" w:rsidRPr="00D30AA0" w:rsidTr="00D30AA0">
        <w:trPr>
          <w:cantSplit/>
        </w:trPr>
        <w:tc>
          <w:tcPr>
            <w:tcW w:w="1043" w:type="dxa"/>
            <w:tcBorders>
              <w:top w:val="single" w:sz="4" w:space="0" w:color="auto"/>
              <w:left w:val="single" w:sz="4" w:space="0" w:color="auto"/>
              <w:bottom w:val="single" w:sz="4" w:space="0" w:color="auto"/>
            </w:tcBorders>
            <w:shd w:val="clear" w:color="auto" w:fill="FFFFFF"/>
          </w:tcPr>
          <w:p w:rsidR="00D30AA0" w:rsidRPr="00D30AA0" w:rsidRDefault="00D30AA0" w:rsidP="00D30AA0">
            <w:pPr>
              <w:pStyle w:val="af"/>
              <w:shd w:val="clear" w:color="auto" w:fill="auto"/>
              <w:spacing w:line="230" w:lineRule="auto"/>
              <w:jc w:val="center"/>
              <w:rPr>
                <w:color w:val="000000"/>
                <w:sz w:val="28"/>
                <w:szCs w:val="28"/>
                <w:lang w:bidi="ru-RU"/>
              </w:rPr>
            </w:pPr>
            <w:r w:rsidRPr="00D30AA0">
              <w:rPr>
                <w:color w:val="000000"/>
                <w:sz w:val="28"/>
                <w:szCs w:val="28"/>
                <w:lang w:bidi="ru-RU"/>
              </w:rPr>
              <w:t>22</w:t>
            </w:r>
          </w:p>
        </w:tc>
        <w:tc>
          <w:tcPr>
            <w:tcW w:w="8369" w:type="dxa"/>
            <w:tcBorders>
              <w:top w:val="single" w:sz="4" w:space="0" w:color="auto"/>
              <w:left w:val="single" w:sz="4" w:space="0" w:color="auto"/>
              <w:bottom w:val="single" w:sz="4" w:space="0" w:color="auto"/>
              <w:right w:val="single" w:sz="4" w:space="0" w:color="auto"/>
            </w:tcBorders>
            <w:shd w:val="clear" w:color="auto" w:fill="FFFFFF"/>
          </w:tcPr>
          <w:p w:rsidR="00D30AA0" w:rsidRPr="00D30AA0" w:rsidRDefault="00D30AA0" w:rsidP="00D30AA0">
            <w:pPr>
              <w:pStyle w:val="af"/>
              <w:shd w:val="clear" w:color="auto" w:fill="auto"/>
              <w:spacing w:line="230" w:lineRule="auto"/>
              <w:ind w:left="132" w:right="160"/>
              <w:rPr>
                <w:color w:val="000000"/>
                <w:sz w:val="28"/>
                <w:szCs w:val="28"/>
                <w:lang w:bidi="ru-RU"/>
              </w:rPr>
            </w:pPr>
            <w:r w:rsidRPr="00D30AA0">
              <w:rPr>
                <w:color w:val="000000"/>
                <w:sz w:val="28"/>
                <w:szCs w:val="28"/>
                <w:lang w:bidi="ru-RU"/>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D30AA0">
              <w:rPr>
                <w:color w:val="000000"/>
                <w:sz w:val="28"/>
                <w:szCs w:val="28"/>
                <w:lang w:bidi="ru-RU"/>
              </w:rPr>
              <w:t>результаты</w:t>
            </w:r>
            <w:proofErr w:type="gramEnd"/>
            <w:r w:rsidRPr="00D30AA0">
              <w:rPr>
                <w:color w:val="000000"/>
                <w:sz w:val="28"/>
                <w:szCs w:val="28"/>
                <w:lang w:bidi="ru-RU"/>
              </w:rPr>
              <w:t xml:space="preserve"> которых были признаны недействительными и (или) отменены, за отчетный период»</w:t>
            </w:r>
          </w:p>
        </w:tc>
      </w:tr>
    </w:tbl>
    <w:p w:rsidR="00D30AA0" w:rsidRPr="00D30AA0" w:rsidRDefault="00D30AA0" w:rsidP="00D30AA0">
      <w:pPr>
        <w:spacing w:line="230" w:lineRule="auto"/>
        <w:rPr>
          <w:rFonts w:ascii="Times New Roman" w:hAnsi="Times New Roman"/>
          <w:sz w:val="6"/>
          <w:szCs w:val="6"/>
        </w:rPr>
      </w:pPr>
    </w:p>
    <w:tbl>
      <w:tblPr>
        <w:tblW w:w="5000" w:type="pct"/>
        <w:jc w:val="right"/>
        <w:tblLook w:val="01E0" w:firstRow="1" w:lastRow="1" w:firstColumn="1" w:lastColumn="1" w:noHBand="0" w:noVBand="0"/>
      </w:tblPr>
      <w:tblGrid>
        <w:gridCol w:w="3995"/>
        <w:gridCol w:w="3086"/>
        <w:gridCol w:w="2490"/>
      </w:tblGrid>
      <w:tr w:rsidR="00D30AA0" w:rsidRPr="00D30AA0" w:rsidTr="00F25BE0">
        <w:trPr>
          <w:jc w:val="right"/>
        </w:trPr>
        <w:tc>
          <w:tcPr>
            <w:tcW w:w="5000" w:type="pct"/>
            <w:gridSpan w:val="3"/>
          </w:tcPr>
          <w:p w:rsidR="00D30AA0" w:rsidRPr="00D30AA0" w:rsidRDefault="00D30AA0" w:rsidP="00D30AA0">
            <w:pPr>
              <w:tabs>
                <w:tab w:val="left" w:pos="993"/>
              </w:tabs>
              <w:autoSpaceDE w:val="0"/>
              <w:autoSpaceDN w:val="0"/>
              <w:adjustRightInd w:val="0"/>
              <w:spacing w:line="230" w:lineRule="auto"/>
              <w:ind w:firstLine="709"/>
              <w:jc w:val="both"/>
              <w:rPr>
                <w:rFonts w:ascii="Times New Roman" w:eastAsia="Calibri" w:hAnsi="Times New Roman"/>
                <w:spacing w:val="2"/>
                <w:sz w:val="28"/>
                <w:szCs w:val="28"/>
                <w:shd w:val="clear" w:color="auto" w:fill="FFFFFF"/>
                <w:lang w:eastAsia="en-US"/>
              </w:rPr>
            </w:pPr>
            <w:r w:rsidRPr="00D30AA0">
              <w:rPr>
                <w:rFonts w:ascii="Times New Roman" w:hAnsi="Times New Roman"/>
                <w:bCs/>
                <w:sz w:val="28"/>
                <w:szCs w:val="28"/>
              </w:rPr>
              <w:t>2. Настоящее постановление вступает в силу со дня его официального опубликования, за исключением подпункта 2 пункта 1, который вступает в силу с 1 марта 2022 года.</w:t>
            </w:r>
          </w:p>
        </w:tc>
      </w:tr>
      <w:tr w:rsidR="00D30AA0" w:rsidRPr="00D30AA0" w:rsidTr="00F25BE0">
        <w:trPr>
          <w:trHeight w:val="309"/>
          <w:jc w:val="right"/>
        </w:trPr>
        <w:tc>
          <w:tcPr>
            <w:tcW w:w="2087" w:type="pct"/>
          </w:tcPr>
          <w:p w:rsidR="00D30AA0" w:rsidRPr="00D30AA0" w:rsidRDefault="00D30AA0" w:rsidP="00D30AA0">
            <w:pPr>
              <w:spacing w:line="230" w:lineRule="auto"/>
              <w:rPr>
                <w:rFonts w:ascii="Times New Roman" w:hAnsi="Times New Roman"/>
                <w:sz w:val="28"/>
                <w:szCs w:val="28"/>
              </w:rPr>
            </w:pPr>
          </w:p>
          <w:p w:rsidR="00D30AA0" w:rsidRDefault="00D30AA0" w:rsidP="00D30AA0">
            <w:pPr>
              <w:spacing w:line="230" w:lineRule="auto"/>
              <w:rPr>
                <w:rFonts w:ascii="Times New Roman" w:hAnsi="Times New Roman"/>
                <w:sz w:val="28"/>
                <w:szCs w:val="28"/>
              </w:rPr>
            </w:pPr>
          </w:p>
          <w:p w:rsidR="00D30AA0" w:rsidRPr="00D30AA0" w:rsidRDefault="00D30AA0" w:rsidP="00D30AA0">
            <w:pPr>
              <w:spacing w:line="230" w:lineRule="auto"/>
              <w:rPr>
                <w:rFonts w:ascii="Times New Roman" w:hAnsi="Times New Roman"/>
                <w:sz w:val="28"/>
                <w:szCs w:val="28"/>
              </w:rPr>
            </w:pPr>
            <w:r w:rsidRPr="00D30AA0">
              <w:rPr>
                <w:rFonts w:ascii="Times New Roman" w:hAnsi="Times New Roman"/>
                <w:sz w:val="28"/>
                <w:szCs w:val="28"/>
              </w:rPr>
              <w:t>Губернатор Рязанской области</w:t>
            </w:r>
          </w:p>
        </w:tc>
        <w:tc>
          <w:tcPr>
            <w:tcW w:w="1612" w:type="pct"/>
          </w:tcPr>
          <w:p w:rsidR="00D30AA0" w:rsidRPr="00D30AA0" w:rsidRDefault="00D30AA0" w:rsidP="00D30AA0">
            <w:pPr>
              <w:spacing w:line="230" w:lineRule="auto"/>
              <w:rPr>
                <w:rFonts w:ascii="Times New Roman" w:hAnsi="Times New Roman"/>
                <w:sz w:val="28"/>
                <w:szCs w:val="28"/>
              </w:rPr>
            </w:pPr>
          </w:p>
        </w:tc>
        <w:tc>
          <w:tcPr>
            <w:tcW w:w="1301" w:type="pct"/>
          </w:tcPr>
          <w:p w:rsidR="00D30AA0" w:rsidRPr="00D30AA0" w:rsidRDefault="00D30AA0" w:rsidP="00D30AA0">
            <w:pPr>
              <w:spacing w:line="230" w:lineRule="auto"/>
              <w:ind w:right="-6"/>
              <w:jc w:val="right"/>
              <w:rPr>
                <w:rFonts w:ascii="Times New Roman" w:hAnsi="Times New Roman"/>
                <w:sz w:val="28"/>
                <w:szCs w:val="28"/>
              </w:rPr>
            </w:pPr>
          </w:p>
          <w:p w:rsidR="00D30AA0" w:rsidRDefault="00D30AA0" w:rsidP="00D30AA0">
            <w:pPr>
              <w:spacing w:line="230" w:lineRule="auto"/>
              <w:ind w:right="-6"/>
              <w:jc w:val="right"/>
              <w:rPr>
                <w:rFonts w:ascii="Times New Roman" w:hAnsi="Times New Roman"/>
                <w:sz w:val="28"/>
                <w:szCs w:val="28"/>
              </w:rPr>
            </w:pPr>
          </w:p>
          <w:p w:rsidR="00D30AA0" w:rsidRPr="00D30AA0" w:rsidRDefault="00D30AA0" w:rsidP="00D30AA0">
            <w:pPr>
              <w:spacing w:line="230" w:lineRule="auto"/>
              <w:ind w:right="-6"/>
              <w:jc w:val="right"/>
              <w:rPr>
                <w:rFonts w:ascii="Times New Roman" w:hAnsi="Times New Roman"/>
                <w:b/>
                <w:sz w:val="28"/>
                <w:szCs w:val="28"/>
              </w:rPr>
            </w:pPr>
            <w:r w:rsidRPr="00D30AA0">
              <w:rPr>
                <w:rFonts w:ascii="Times New Roman" w:hAnsi="Times New Roman"/>
                <w:sz w:val="28"/>
                <w:szCs w:val="28"/>
              </w:rPr>
              <w:t>Н. В. Любимов</w:t>
            </w:r>
          </w:p>
        </w:tc>
      </w:tr>
    </w:tbl>
    <w:p w:rsidR="00460FEA" w:rsidRPr="00D30AA0" w:rsidRDefault="00460FEA" w:rsidP="00D30AA0">
      <w:pPr>
        <w:spacing w:line="230" w:lineRule="auto"/>
        <w:rPr>
          <w:rFonts w:ascii="Times New Roman" w:hAnsi="Times New Roman"/>
          <w:sz w:val="2"/>
          <w:szCs w:val="2"/>
        </w:rPr>
      </w:pPr>
    </w:p>
    <w:sectPr w:rsidR="00460FEA" w:rsidRPr="00D30AA0" w:rsidSect="006173A2">
      <w:headerReference w:type="default" r:id="rId15"/>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25" w:rsidRDefault="00F47D25">
      <w:r>
        <w:separator/>
      </w:r>
    </w:p>
  </w:endnote>
  <w:endnote w:type="continuationSeparator" w:id="0">
    <w:p w:rsidR="00F47D25" w:rsidRDefault="00F4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3BC" w:rsidRDefault="00E663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52639F">
          <w:pPr>
            <w:pStyle w:val="a6"/>
          </w:pPr>
          <w:r>
            <w:rPr>
              <w:noProof/>
            </w:rPr>
            <w:drawing>
              <wp:inline distT="0" distB="0" distL="0" distR="0" wp14:anchorId="6FCA7164" wp14:editId="446D069C">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52639F"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25A35D20" wp14:editId="07384EEC">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6173A2" w:rsidP="005E6D99">
          <w:pPr>
            <w:pStyle w:val="a6"/>
            <w:ind w:right="-113"/>
            <w:rPr>
              <w:rFonts w:ascii="Times New Roman" w:hAnsi="Times New Roman"/>
              <w:position w:val="-14"/>
              <w:lang w:val="en-US"/>
            </w:rPr>
          </w:pPr>
          <w:r>
            <w:rPr>
              <w:rFonts w:ascii="Times New Roman" w:hAnsi="Times New Roman"/>
              <w:position w:val="-14"/>
              <w:lang w:val="en-US"/>
            </w:rPr>
            <w:t>5434  18.02.2022 10:47:43</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B413CE" w:rsidRDefault="00876034">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25" w:rsidRDefault="00F47D25">
      <w:r>
        <w:separator/>
      </w:r>
    </w:p>
  </w:footnote>
  <w:footnote w:type="continuationSeparator" w:id="0">
    <w:p w:rsidR="00F47D25" w:rsidRDefault="00F4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3BC" w:rsidRDefault="00E663B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3BC" w:rsidRDefault="00E663BC">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D51777">
      <w:rPr>
        <w:rStyle w:val="a8"/>
        <w:rFonts w:ascii="Times New Roman" w:hAnsi="Times New Roman"/>
        <w:noProof/>
        <w:sz w:val="28"/>
        <w:szCs w:val="28"/>
      </w:rPr>
      <w:t>3</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7pt;height:11.0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3C6A6D96"/>
    <w:multiLevelType w:val="hybridMultilevel"/>
    <w:tmpl w:val="075E1230"/>
    <w:lvl w:ilvl="0" w:tplc="814243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xeSy9rDOEuh6gAd8BlSQNp+oKw=" w:salt="KMYeM3GnPat5q2m+HxllL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9F"/>
    <w:rsid w:val="0001360F"/>
    <w:rsid w:val="000331B3"/>
    <w:rsid w:val="00033413"/>
    <w:rsid w:val="00037C0C"/>
    <w:rsid w:val="00056DEB"/>
    <w:rsid w:val="00073A7A"/>
    <w:rsid w:val="00076D5E"/>
    <w:rsid w:val="00084DD3"/>
    <w:rsid w:val="000917C0"/>
    <w:rsid w:val="000B0736"/>
    <w:rsid w:val="000D5EED"/>
    <w:rsid w:val="00122CFD"/>
    <w:rsid w:val="0012429E"/>
    <w:rsid w:val="00151370"/>
    <w:rsid w:val="00162E72"/>
    <w:rsid w:val="00175BE5"/>
    <w:rsid w:val="00182DC7"/>
    <w:rsid w:val="001850F4"/>
    <w:rsid w:val="001947BE"/>
    <w:rsid w:val="001A560F"/>
    <w:rsid w:val="001B0982"/>
    <w:rsid w:val="001B32BA"/>
    <w:rsid w:val="001E0317"/>
    <w:rsid w:val="001E20F1"/>
    <w:rsid w:val="001F12E8"/>
    <w:rsid w:val="001F228C"/>
    <w:rsid w:val="001F64B8"/>
    <w:rsid w:val="001F7C83"/>
    <w:rsid w:val="00203046"/>
    <w:rsid w:val="00231F1C"/>
    <w:rsid w:val="00242DDB"/>
    <w:rsid w:val="002479A2"/>
    <w:rsid w:val="0026087E"/>
    <w:rsid w:val="00265420"/>
    <w:rsid w:val="00274E14"/>
    <w:rsid w:val="00280A6D"/>
    <w:rsid w:val="002953B6"/>
    <w:rsid w:val="002B7A59"/>
    <w:rsid w:val="002C6B4B"/>
    <w:rsid w:val="002F1E81"/>
    <w:rsid w:val="00310D92"/>
    <w:rsid w:val="003160CB"/>
    <w:rsid w:val="003222A3"/>
    <w:rsid w:val="00360A40"/>
    <w:rsid w:val="0038445B"/>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0432E"/>
    <w:rsid w:val="00512A47"/>
    <w:rsid w:val="0052639F"/>
    <w:rsid w:val="00531C68"/>
    <w:rsid w:val="00532119"/>
    <w:rsid w:val="005335F3"/>
    <w:rsid w:val="00543C38"/>
    <w:rsid w:val="00543D2D"/>
    <w:rsid w:val="00545A3D"/>
    <w:rsid w:val="00546DBB"/>
    <w:rsid w:val="00556535"/>
    <w:rsid w:val="00561A5B"/>
    <w:rsid w:val="005622D6"/>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173A2"/>
    <w:rsid w:val="00632A4F"/>
    <w:rsid w:val="00632B56"/>
    <w:rsid w:val="006351E3"/>
    <w:rsid w:val="00644236"/>
    <w:rsid w:val="006471E5"/>
    <w:rsid w:val="0065200E"/>
    <w:rsid w:val="00671D3B"/>
    <w:rsid w:val="00683693"/>
    <w:rsid w:val="00684A5B"/>
    <w:rsid w:val="006A1F71"/>
    <w:rsid w:val="006F328B"/>
    <w:rsid w:val="006F56E2"/>
    <w:rsid w:val="006F5886"/>
    <w:rsid w:val="00707734"/>
    <w:rsid w:val="00707E19"/>
    <w:rsid w:val="00712F7C"/>
    <w:rsid w:val="0072328A"/>
    <w:rsid w:val="007377B5"/>
    <w:rsid w:val="00746CC2"/>
    <w:rsid w:val="00752F13"/>
    <w:rsid w:val="00760323"/>
    <w:rsid w:val="00765600"/>
    <w:rsid w:val="0077200C"/>
    <w:rsid w:val="00791C9F"/>
    <w:rsid w:val="00792AAB"/>
    <w:rsid w:val="00793B47"/>
    <w:rsid w:val="007A1D0C"/>
    <w:rsid w:val="007A2A7B"/>
    <w:rsid w:val="007A6F57"/>
    <w:rsid w:val="007C3605"/>
    <w:rsid w:val="007D4925"/>
    <w:rsid w:val="007F0C8A"/>
    <w:rsid w:val="007F11AB"/>
    <w:rsid w:val="008143CB"/>
    <w:rsid w:val="00823CA1"/>
    <w:rsid w:val="008470C2"/>
    <w:rsid w:val="008513B9"/>
    <w:rsid w:val="008702D3"/>
    <w:rsid w:val="00876034"/>
    <w:rsid w:val="008827E7"/>
    <w:rsid w:val="00897610"/>
    <w:rsid w:val="008A1696"/>
    <w:rsid w:val="008B7D2A"/>
    <w:rsid w:val="008C58FE"/>
    <w:rsid w:val="008E0F9D"/>
    <w:rsid w:val="008E6112"/>
    <w:rsid w:val="008E6C41"/>
    <w:rsid w:val="008F0816"/>
    <w:rsid w:val="008F6BB7"/>
    <w:rsid w:val="00900F42"/>
    <w:rsid w:val="00932E3C"/>
    <w:rsid w:val="009739E0"/>
    <w:rsid w:val="00987ABD"/>
    <w:rsid w:val="009977FF"/>
    <w:rsid w:val="009A085B"/>
    <w:rsid w:val="009C1DE6"/>
    <w:rsid w:val="009C1F0E"/>
    <w:rsid w:val="009D3E8C"/>
    <w:rsid w:val="009E3A0E"/>
    <w:rsid w:val="009F69FC"/>
    <w:rsid w:val="00A1314B"/>
    <w:rsid w:val="00A13160"/>
    <w:rsid w:val="00A137D3"/>
    <w:rsid w:val="00A44A8F"/>
    <w:rsid w:val="00A51D96"/>
    <w:rsid w:val="00A96F84"/>
    <w:rsid w:val="00AC3953"/>
    <w:rsid w:val="00AC7150"/>
    <w:rsid w:val="00AF5F7C"/>
    <w:rsid w:val="00B02207"/>
    <w:rsid w:val="00B03403"/>
    <w:rsid w:val="00B10324"/>
    <w:rsid w:val="00B376B1"/>
    <w:rsid w:val="00B413CE"/>
    <w:rsid w:val="00B5118E"/>
    <w:rsid w:val="00B620D9"/>
    <w:rsid w:val="00B633DB"/>
    <w:rsid w:val="00B639ED"/>
    <w:rsid w:val="00B66A8C"/>
    <w:rsid w:val="00B8061C"/>
    <w:rsid w:val="00B83BA2"/>
    <w:rsid w:val="00B853AA"/>
    <w:rsid w:val="00B875BF"/>
    <w:rsid w:val="00B91F62"/>
    <w:rsid w:val="00BB2C98"/>
    <w:rsid w:val="00BB2F53"/>
    <w:rsid w:val="00BD0B82"/>
    <w:rsid w:val="00BF4F5F"/>
    <w:rsid w:val="00C04EEB"/>
    <w:rsid w:val="00C10F12"/>
    <w:rsid w:val="00C11826"/>
    <w:rsid w:val="00C129A1"/>
    <w:rsid w:val="00C46D42"/>
    <w:rsid w:val="00C50C32"/>
    <w:rsid w:val="00C53379"/>
    <w:rsid w:val="00C60178"/>
    <w:rsid w:val="00C61760"/>
    <w:rsid w:val="00C63CD6"/>
    <w:rsid w:val="00C87D95"/>
    <w:rsid w:val="00C9077A"/>
    <w:rsid w:val="00C95CD2"/>
    <w:rsid w:val="00CA051B"/>
    <w:rsid w:val="00CB3CBE"/>
    <w:rsid w:val="00CB6CD3"/>
    <w:rsid w:val="00CD54CA"/>
    <w:rsid w:val="00CF03D8"/>
    <w:rsid w:val="00D015D5"/>
    <w:rsid w:val="00D03D68"/>
    <w:rsid w:val="00D13643"/>
    <w:rsid w:val="00D266DD"/>
    <w:rsid w:val="00D30AA0"/>
    <w:rsid w:val="00D32B04"/>
    <w:rsid w:val="00D374E7"/>
    <w:rsid w:val="00D51777"/>
    <w:rsid w:val="00D63949"/>
    <w:rsid w:val="00D652E7"/>
    <w:rsid w:val="00D742CB"/>
    <w:rsid w:val="00D77BCF"/>
    <w:rsid w:val="00D84394"/>
    <w:rsid w:val="00D95E55"/>
    <w:rsid w:val="00DB3664"/>
    <w:rsid w:val="00DC16FB"/>
    <w:rsid w:val="00DC4A65"/>
    <w:rsid w:val="00DC4F66"/>
    <w:rsid w:val="00E10B44"/>
    <w:rsid w:val="00E11F02"/>
    <w:rsid w:val="00E2726B"/>
    <w:rsid w:val="00E37801"/>
    <w:rsid w:val="00E43BAE"/>
    <w:rsid w:val="00E44CAA"/>
    <w:rsid w:val="00E46EAA"/>
    <w:rsid w:val="00E5038C"/>
    <w:rsid w:val="00E50B69"/>
    <w:rsid w:val="00E5298B"/>
    <w:rsid w:val="00E56EFB"/>
    <w:rsid w:val="00E6458F"/>
    <w:rsid w:val="00E663BC"/>
    <w:rsid w:val="00E7242D"/>
    <w:rsid w:val="00E73957"/>
    <w:rsid w:val="00E87E21"/>
    <w:rsid w:val="00E87E25"/>
    <w:rsid w:val="00EA04F1"/>
    <w:rsid w:val="00EA2FD3"/>
    <w:rsid w:val="00EB7CE9"/>
    <w:rsid w:val="00EC33FE"/>
    <w:rsid w:val="00EC433F"/>
    <w:rsid w:val="00EC68A4"/>
    <w:rsid w:val="00ED1FDE"/>
    <w:rsid w:val="00F06EFB"/>
    <w:rsid w:val="00F1529E"/>
    <w:rsid w:val="00F16F07"/>
    <w:rsid w:val="00F45B7C"/>
    <w:rsid w:val="00F45FCE"/>
    <w:rsid w:val="00F47D25"/>
    <w:rsid w:val="00F9334F"/>
    <w:rsid w:val="00F97D7F"/>
    <w:rsid w:val="00FA122C"/>
    <w:rsid w:val="00FA1E85"/>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Plain Text"/>
    <w:basedOn w:val="a"/>
    <w:link w:val="ad"/>
    <w:uiPriority w:val="99"/>
    <w:rsid w:val="007A6F57"/>
    <w:rPr>
      <w:rFonts w:ascii="Courier New" w:hAnsi="Courier New" w:cs="Courier New"/>
    </w:rPr>
  </w:style>
  <w:style w:type="character" w:customStyle="1" w:styleId="ad">
    <w:name w:val="Текст Знак"/>
    <w:basedOn w:val="a0"/>
    <w:link w:val="ac"/>
    <w:uiPriority w:val="99"/>
    <w:rsid w:val="007A6F57"/>
    <w:rPr>
      <w:rFonts w:ascii="Courier New" w:hAnsi="Courier New" w:cs="Courier New"/>
    </w:rPr>
  </w:style>
  <w:style w:type="character" w:customStyle="1" w:styleId="ae">
    <w:name w:val="Другое_"/>
    <w:basedOn w:val="a0"/>
    <w:link w:val="af"/>
    <w:rsid w:val="0050432E"/>
    <w:rPr>
      <w:sz w:val="26"/>
      <w:szCs w:val="26"/>
      <w:shd w:val="clear" w:color="auto" w:fill="FFFFFF"/>
    </w:rPr>
  </w:style>
  <w:style w:type="paragraph" w:customStyle="1" w:styleId="af">
    <w:name w:val="Другое"/>
    <w:basedOn w:val="a"/>
    <w:link w:val="ae"/>
    <w:rsid w:val="0050432E"/>
    <w:pPr>
      <w:widowControl w:val="0"/>
      <w:shd w:val="clear" w:color="auto" w:fill="FFFFFF"/>
      <w:spacing w:line="257" w:lineRule="auto"/>
    </w:pPr>
    <w:rPr>
      <w:rFonts w:ascii="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Plain Text"/>
    <w:basedOn w:val="a"/>
    <w:link w:val="ad"/>
    <w:uiPriority w:val="99"/>
    <w:rsid w:val="007A6F57"/>
    <w:rPr>
      <w:rFonts w:ascii="Courier New" w:hAnsi="Courier New" w:cs="Courier New"/>
    </w:rPr>
  </w:style>
  <w:style w:type="character" w:customStyle="1" w:styleId="ad">
    <w:name w:val="Текст Знак"/>
    <w:basedOn w:val="a0"/>
    <w:link w:val="ac"/>
    <w:uiPriority w:val="99"/>
    <w:rsid w:val="007A6F57"/>
    <w:rPr>
      <w:rFonts w:ascii="Courier New" w:hAnsi="Courier New" w:cs="Courier New"/>
    </w:rPr>
  </w:style>
  <w:style w:type="character" w:customStyle="1" w:styleId="ae">
    <w:name w:val="Другое_"/>
    <w:basedOn w:val="a0"/>
    <w:link w:val="af"/>
    <w:rsid w:val="0050432E"/>
    <w:rPr>
      <w:sz w:val="26"/>
      <w:szCs w:val="26"/>
      <w:shd w:val="clear" w:color="auto" w:fill="FFFFFF"/>
    </w:rPr>
  </w:style>
  <w:style w:type="paragraph" w:customStyle="1" w:styleId="af">
    <w:name w:val="Другое"/>
    <w:basedOn w:val="a"/>
    <w:link w:val="ae"/>
    <w:rsid w:val="0050432E"/>
    <w:pPr>
      <w:widowControl w:val="0"/>
      <w:shd w:val="clear" w:color="auto" w:fill="FFFFFF"/>
      <w:spacing w:line="257" w:lineRule="auto"/>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ПП</vt:lpstr>
    </vt:vector>
  </TitlesOfParts>
  <Company>SPecialiST RePack</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елена буданова</dc:creator>
  <cp:lastModifiedBy>Лёксина М.А.</cp:lastModifiedBy>
  <cp:revision>8</cp:revision>
  <cp:lastPrinted>2022-02-15T07:02:00Z</cp:lastPrinted>
  <dcterms:created xsi:type="dcterms:W3CDTF">2022-02-18T07:47:00Z</dcterms:created>
  <dcterms:modified xsi:type="dcterms:W3CDTF">2022-02-22T12:58:00Z</dcterms:modified>
</cp:coreProperties>
</file>