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02" w:rsidRPr="00D338B2" w:rsidRDefault="005E40AD" w:rsidP="00D338B2">
      <w:pPr>
        <w:tabs>
          <w:tab w:val="left" w:pos="4400"/>
          <w:tab w:val="left" w:pos="4600"/>
        </w:tabs>
        <w:spacing w:before="480" w:after="520"/>
        <w:rPr>
          <w:rFonts w:ascii="Times New Roman" w:hAnsi="Times New Roman"/>
          <w:bCs/>
          <w:sz w:val="28"/>
          <w:szCs w:val="28"/>
        </w:rPr>
        <w:sectPr w:rsidR="00037A02" w:rsidRPr="00D338B2" w:rsidSect="00220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/>
          <w:pgMar w:top="567" w:right="567" w:bottom="1134" w:left="1985" w:header="272" w:footer="567" w:gutter="0"/>
          <w:cols w:space="720"/>
          <w:docGrid w:linePitch="272"/>
        </w:sectPr>
      </w:pPr>
      <w:r w:rsidRPr="00D338B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CBD861" wp14:editId="1338E2DF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8B2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D338B2" w:rsidRPr="00D338B2">
        <w:rPr>
          <w:rFonts w:ascii="Times New Roman" w:hAnsi="Times New Roman"/>
          <w:bCs/>
          <w:sz w:val="28"/>
          <w:szCs w:val="28"/>
        </w:rPr>
        <w:t>от 22 декабря 2021 г. № 540-р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15 декабря 2020 г. № 592-р (в редакции распоряжений Правительства Рязанской области от 10.08.2021 № 326-р, от 15.10.2021         № 416-р) следующие изменения:</w:t>
      </w:r>
      <w:r w:rsidR="004E58E8" w:rsidRPr="002201ED">
        <w:rPr>
          <w:rFonts w:ascii="Times New Roman" w:hAnsi="Times New Roman"/>
          <w:sz w:val="28"/>
          <w:szCs w:val="28"/>
        </w:rPr>
        <w:t xml:space="preserve"> </w:t>
      </w:r>
    </w:p>
    <w:p w:rsidR="00805C29" w:rsidRPr="002201ED" w:rsidRDefault="00B67B47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E40AD" w:rsidRPr="002201ED">
        <w:rPr>
          <w:rFonts w:ascii="Times New Roman" w:hAnsi="Times New Roman"/>
          <w:sz w:val="28"/>
          <w:szCs w:val="28"/>
        </w:rPr>
        <w:t>в таблице раздела 4 «Ресурсное обеспечение региональной программы»: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- в графах 10,</w:t>
      </w:r>
      <w:r w:rsidR="000D17AE" w:rsidRPr="002201ED">
        <w:rPr>
          <w:rFonts w:ascii="Times New Roman" w:hAnsi="Times New Roman"/>
          <w:sz w:val="28"/>
          <w:szCs w:val="28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11 строки «Всего, в том числе</w:t>
      </w:r>
      <w:proofErr w:type="gramStart"/>
      <w:r w:rsidRPr="002201ED">
        <w:rPr>
          <w:rFonts w:ascii="Times New Roman" w:hAnsi="Times New Roman"/>
          <w:sz w:val="28"/>
          <w:szCs w:val="28"/>
        </w:rPr>
        <w:t>:»</w:t>
      </w:r>
      <w:proofErr w:type="gramEnd"/>
      <w:r w:rsidRPr="002201ED">
        <w:rPr>
          <w:rFonts w:ascii="Times New Roman" w:hAnsi="Times New Roman"/>
          <w:sz w:val="28"/>
          <w:szCs w:val="28"/>
        </w:rPr>
        <w:t xml:space="preserve"> цифры «925 549,75», </w:t>
      </w:r>
      <w:r w:rsidRPr="007B4EA5">
        <w:rPr>
          <w:rFonts w:ascii="Times New Roman" w:hAnsi="Times New Roman"/>
          <w:spacing w:val="-4"/>
          <w:sz w:val="28"/>
          <w:szCs w:val="28"/>
        </w:rPr>
        <w:t>«1</w:t>
      </w:r>
      <w:r w:rsidR="002D4C7B" w:rsidRPr="007B4EA5">
        <w:rPr>
          <w:rFonts w:ascii="Times New Roman" w:hAnsi="Times New Roman"/>
          <w:spacing w:val="-4"/>
          <w:sz w:val="28"/>
          <w:szCs w:val="28"/>
        </w:rPr>
        <w:t> </w:t>
      </w:r>
      <w:r w:rsidRPr="007B4EA5">
        <w:rPr>
          <w:rFonts w:ascii="Times New Roman" w:hAnsi="Times New Roman"/>
          <w:spacing w:val="-4"/>
          <w:sz w:val="28"/>
          <w:szCs w:val="28"/>
        </w:rPr>
        <w:t>324</w:t>
      </w:r>
      <w:r w:rsidR="002D4C7B" w:rsidRPr="007B4E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4EA5">
        <w:rPr>
          <w:rFonts w:ascii="Times New Roman" w:hAnsi="Times New Roman"/>
          <w:spacing w:val="-4"/>
          <w:sz w:val="28"/>
          <w:szCs w:val="28"/>
        </w:rPr>
        <w:t>934,05» заменить соответственно цифрами «900 193,50»,</w:t>
      </w:r>
      <w:r w:rsidR="007B4EA5" w:rsidRPr="007B4E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4EA5">
        <w:rPr>
          <w:rFonts w:ascii="Times New Roman" w:hAnsi="Times New Roman"/>
          <w:spacing w:val="-4"/>
          <w:sz w:val="28"/>
          <w:szCs w:val="28"/>
        </w:rPr>
        <w:t>«1 350 290,30»;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- в графах 10,</w:t>
      </w:r>
      <w:r w:rsidR="000D17AE" w:rsidRPr="002201ED">
        <w:rPr>
          <w:rFonts w:ascii="Times New Roman" w:hAnsi="Times New Roman"/>
          <w:sz w:val="28"/>
          <w:szCs w:val="28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11 строки «бюджет Рязанской области» цифры                    «39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125,89», «56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009,11» заменить соответственно цифрами «38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054,00»,          «57 081,00»;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- в графах 10,</w:t>
      </w:r>
      <w:r w:rsidR="000D17AE" w:rsidRPr="002201ED">
        <w:rPr>
          <w:rFonts w:ascii="Times New Roman" w:hAnsi="Times New Roman"/>
          <w:sz w:val="28"/>
          <w:szCs w:val="28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11 строки «в том числе за счет межбюджетных трансфертов федерального бюджета» цифры «886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423,86», «1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268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924,94» заменить соответственно цифрами «862 139,50», «1 293 209,30»;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- в пункте 1: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в графах 10,</w:t>
      </w:r>
      <w:r w:rsidR="000D17AE" w:rsidRPr="002201ED">
        <w:rPr>
          <w:rFonts w:ascii="Times New Roman" w:hAnsi="Times New Roman"/>
          <w:sz w:val="28"/>
          <w:szCs w:val="28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11 строки «Всего» цифры «694</w:t>
      </w:r>
      <w:r w:rsidR="007B4EA5">
        <w:rPr>
          <w:rFonts w:ascii="Times New Roman" w:hAnsi="Times New Roman"/>
          <w:sz w:val="28"/>
          <w:szCs w:val="28"/>
        </w:rPr>
        <w:t> 408,53», «1 </w:t>
      </w:r>
      <w:r w:rsidRPr="002201ED">
        <w:rPr>
          <w:rFonts w:ascii="Times New Roman" w:hAnsi="Times New Roman"/>
          <w:sz w:val="28"/>
          <w:szCs w:val="28"/>
        </w:rPr>
        <w:t>131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517,65» заменить соответственно цифрами «669 052,2</w:t>
      </w:r>
      <w:r w:rsidR="00BC2B7F" w:rsidRPr="002201ED">
        <w:rPr>
          <w:rFonts w:ascii="Times New Roman" w:hAnsi="Times New Roman"/>
          <w:sz w:val="28"/>
          <w:szCs w:val="28"/>
        </w:rPr>
        <w:t>9</w:t>
      </w:r>
      <w:r w:rsidRPr="002201ED">
        <w:rPr>
          <w:rFonts w:ascii="Times New Roman" w:hAnsi="Times New Roman"/>
          <w:sz w:val="28"/>
          <w:szCs w:val="28"/>
        </w:rPr>
        <w:t>», «1 156 873,89»;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в графах 10,</w:t>
      </w:r>
      <w:r w:rsidR="000D17AE" w:rsidRPr="002201ED">
        <w:rPr>
          <w:rFonts w:ascii="Times New Roman" w:hAnsi="Times New Roman"/>
          <w:sz w:val="28"/>
          <w:szCs w:val="28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11 строки «бюджет Рязанской области» цифры «29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354,82», «47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832,80» заменить соответственно цифрами «28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282,94»,          «48 904,68»;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в графах 10,</w:t>
      </w:r>
      <w:r w:rsidR="000D17AE" w:rsidRPr="002201ED">
        <w:rPr>
          <w:rFonts w:ascii="Times New Roman" w:hAnsi="Times New Roman"/>
          <w:sz w:val="28"/>
          <w:szCs w:val="28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11 строки «межбюджетные трансферты федерального бюджета» цифры «665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053,71», «1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083</w:t>
      </w:r>
      <w:r w:rsidR="007B4EA5">
        <w:rPr>
          <w:rFonts w:ascii="Times New Roman" w:hAnsi="Times New Roman"/>
          <w:sz w:val="28"/>
          <w:szCs w:val="28"/>
        </w:rPr>
        <w:t> </w:t>
      </w:r>
      <w:r w:rsidRPr="002201ED">
        <w:rPr>
          <w:rFonts w:ascii="Times New Roman" w:hAnsi="Times New Roman"/>
          <w:sz w:val="28"/>
          <w:szCs w:val="28"/>
        </w:rPr>
        <w:t>684</w:t>
      </w:r>
      <w:r w:rsidR="009C467C" w:rsidRPr="002201ED">
        <w:rPr>
          <w:rFonts w:ascii="Times New Roman" w:hAnsi="Times New Roman"/>
          <w:sz w:val="28"/>
          <w:szCs w:val="28"/>
        </w:rPr>
        <w:t>,</w:t>
      </w:r>
      <w:r w:rsidRPr="002201ED">
        <w:rPr>
          <w:rFonts w:ascii="Times New Roman" w:hAnsi="Times New Roman"/>
          <w:sz w:val="28"/>
          <w:szCs w:val="28"/>
        </w:rPr>
        <w:t>85»</w:t>
      </w:r>
      <w:r w:rsidRPr="002201ED">
        <w:rPr>
          <w:rFonts w:ascii="Times New Roman" w:hAnsi="Times New Roman"/>
        </w:rPr>
        <w:t xml:space="preserve"> </w:t>
      </w:r>
      <w:r w:rsidRPr="002201ED">
        <w:rPr>
          <w:rFonts w:ascii="Times New Roman" w:hAnsi="Times New Roman"/>
          <w:sz w:val="28"/>
          <w:szCs w:val="28"/>
        </w:rPr>
        <w:t>заменить соответственно цифрами «640 769,35», «1 107 969,21»;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- в пункте 2: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 xml:space="preserve">в графах </w:t>
      </w:r>
      <w:r w:rsidR="007B4EA5">
        <w:rPr>
          <w:rFonts w:ascii="Times New Roman" w:hAnsi="Times New Roman"/>
          <w:sz w:val="28"/>
          <w:szCs w:val="28"/>
        </w:rPr>
        <w:t>8, 12 строки «Всего» цифры «242 224,49» «762 </w:t>
      </w:r>
      <w:r w:rsidRPr="002201ED">
        <w:rPr>
          <w:rFonts w:ascii="Times New Roman" w:hAnsi="Times New Roman"/>
          <w:sz w:val="28"/>
          <w:szCs w:val="28"/>
        </w:rPr>
        <w:t>556,83», заменить соответственно цифрами «235 024,49», «755 356,83»;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в графах 8, 12 строки «бюджет Рязанской области» цифры «10 239,59», «32 235,67» заменить соответственно цифрами «9 935,22», «31 931,30»;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в графах 8, 12 строки «межбюджетные трансферты федерального бюджета» цифры «231 984,90», «730 321,17» заменить соответственно цифрами «225 089,2</w:t>
      </w:r>
      <w:r w:rsidR="0024618B" w:rsidRPr="002201ED">
        <w:rPr>
          <w:rFonts w:ascii="Times New Roman" w:hAnsi="Times New Roman"/>
          <w:sz w:val="28"/>
          <w:szCs w:val="28"/>
        </w:rPr>
        <w:t>7</w:t>
      </w:r>
      <w:r w:rsidRPr="002201ED">
        <w:rPr>
          <w:rFonts w:ascii="Times New Roman" w:hAnsi="Times New Roman"/>
          <w:sz w:val="28"/>
          <w:szCs w:val="28"/>
        </w:rPr>
        <w:t>», «723 425,53»;</w:t>
      </w:r>
      <w:r w:rsidR="002700BB" w:rsidRPr="002201ED">
        <w:rPr>
          <w:rFonts w:ascii="Times New Roman" w:hAnsi="Times New Roman"/>
          <w:sz w:val="28"/>
          <w:szCs w:val="28"/>
        </w:rPr>
        <w:t xml:space="preserve"> </w:t>
      </w:r>
    </w:p>
    <w:p w:rsidR="00037A02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- пункты 5, 6 изложить в следующей редакции:</w:t>
      </w:r>
    </w:p>
    <w:p w:rsidR="007B4EA5" w:rsidRPr="002201ED" w:rsidRDefault="007B4EA5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455"/>
        <w:gridCol w:w="259"/>
        <w:gridCol w:w="287"/>
        <w:gridCol w:w="288"/>
        <w:gridCol w:w="287"/>
        <w:gridCol w:w="288"/>
        <w:gridCol w:w="1037"/>
        <w:gridCol w:w="1152"/>
        <w:gridCol w:w="432"/>
        <w:gridCol w:w="433"/>
        <w:gridCol w:w="1152"/>
      </w:tblGrid>
      <w:tr w:rsidR="002D4C7B" w:rsidRPr="002201ED" w:rsidTr="002201ED">
        <w:trPr>
          <w:trHeight w:val="274"/>
        </w:trPr>
        <w:tc>
          <w:tcPr>
            <w:tcW w:w="501" w:type="dxa"/>
            <w:shd w:val="clear" w:color="auto" w:fill="auto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D4C7B" w:rsidRPr="002201ED" w:rsidRDefault="002D4C7B" w:rsidP="002D4C7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037A02" w:rsidRPr="002201ED" w:rsidTr="002201ED">
        <w:trPr>
          <w:trHeight w:val="1830"/>
        </w:trPr>
        <w:tc>
          <w:tcPr>
            <w:tcW w:w="501" w:type="dxa"/>
            <w:vMerge w:val="restart"/>
            <w:shd w:val="clear" w:color="auto" w:fill="auto"/>
          </w:tcPr>
          <w:p w:rsidR="00037A02" w:rsidRPr="002201ED" w:rsidRDefault="000D17AE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5E40AD"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5.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 w:rsidP="00D40FF4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5. Приобретение и монтаж</w:t>
            </w:r>
            <w:r w:rsidR="00D40FF4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243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7 200,00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7 200,00</w:t>
            </w:r>
          </w:p>
        </w:tc>
      </w:tr>
      <w:tr w:rsidR="00037A02" w:rsidRPr="002201ED" w:rsidTr="002201ED">
        <w:trPr>
          <w:trHeight w:val="263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из них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300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бюджет Рязанской области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304,3</w:t>
            </w:r>
            <w:r w:rsidR="0024618B"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304,3</w:t>
            </w:r>
            <w:r w:rsidR="0024618B"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</w:tr>
      <w:tr w:rsidR="00037A02" w:rsidRPr="002201ED" w:rsidTr="002201ED">
        <w:trPr>
          <w:trHeight w:val="510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межбюджетные трансферты федерального бюджета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6 895,63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6 895,63</w:t>
            </w:r>
          </w:p>
        </w:tc>
      </w:tr>
      <w:tr w:rsidR="00037A02" w:rsidRPr="002201ED" w:rsidTr="002201ED">
        <w:trPr>
          <w:trHeight w:val="300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noWrap/>
            <w:vAlign w:val="bottom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480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межбюджетные трансферты из бюджета Рязанской области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300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300"/>
        </w:trPr>
        <w:tc>
          <w:tcPr>
            <w:tcW w:w="501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средства юридических лиц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480"/>
        </w:trPr>
        <w:tc>
          <w:tcPr>
            <w:tcW w:w="5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D40FF4">
        <w:trPr>
          <w:trHeight w:val="480"/>
        </w:trPr>
        <w:tc>
          <w:tcPr>
            <w:tcW w:w="501" w:type="dxa"/>
            <w:tcBorders>
              <w:bottom w:val="nil"/>
            </w:tcBorders>
            <w:shd w:val="clear" w:color="auto" w:fill="auto"/>
          </w:tcPr>
          <w:p w:rsidR="00037A02" w:rsidRPr="002201ED" w:rsidRDefault="002D4C7B" w:rsidP="00D40FF4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6.</w:t>
            </w:r>
          </w:p>
        </w:tc>
        <w:tc>
          <w:tcPr>
            <w:tcW w:w="3455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Мероприятие 6.</w:t>
            </w: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Не влияющее на общий уровень </w:t>
            </w:r>
            <w:proofErr w:type="spellStart"/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в рамках программы дополнительное финансирование строительства объектов медицинских организаций и их обособленных структурных подразделений, (фельдшерско-акушерские и фельдшерские пункты), а также зданий (отдельных зданий, комплексов зданий) центральных районных и районных больниц, на базе которых оказывается первичная медико-санитарная помощь (поликлиники, поликлинические подразделения, амбулатории)</w:t>
            </w:r>
          </w:p>
        </w:tc>
        <w:tc>
          <w:tcPr>
            <w:tcW w:w="259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8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8" w:type="dxa"/>
            <w:vMerge w:val="restart"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3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2782"/>
        </w:trPr>
        <w:tc>
          <w:tcPr>
            <w:tcW w:w="501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037A02" w:rsidRPr="002201ED" w:rsidRDefault="00037A02" w:rsidP="002D4C7B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vMerge/>
            <w:shd w:val="clear" w:color="auto" w:fill="auto"/>
            <w:vAlign w:val="center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59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8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7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8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37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32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33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bottom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037A02" w:rsidRPr="002201ED" w:rsidTr="00D40FF4">
        <w:trPr>
          <w:trHeight w:val="237"/>
        </w:trPr>
        <w:tc>
          <w:tcPr>
            <w:tcW w:w="501" w:type="dxa"/>
            <w:vMerge/>
            <w:vAlign w:val="center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 w:rsidP="002201E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23 200,00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33 941,87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201E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57 141,87</w:t>
            </w:r>
          </w:p>
        </w:tc>
      </w:tr>
      <w:tr w:rsidR="00037A02" w:rsidRPr="002201ED" w:rsidTr="002201ED">
        <w:trPr>
          <w:trHeight w:val="300"/>
        </w:trPr>
        <w:tc>
          <w:tcPr>
            <w:tcW w:w="501" w:type="dxa"/>
            <w:vMerge/>
            <w:vAlign w:val="center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из них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 w:rsidP="002201E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037A0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201E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037A02" w:rsidRPr="002201ED" w:rsidTr="002201ED">
        <w:trPr>
          <w:trHeight w:val="300"/>
        </w:trPr>
        <w:tc>
          <w:tcPr>
            <w:tcW w:w="501" w:type="dxa"/>
            <w:vMerge/>
            <w:vAlign w:val="center"/>
          </w:tcPr>
          <w:p w:rsidR="00037A02" w:rsidRPr="002201ED" w:rsidRDefault="00037A0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037A02" w:rsidRPr="002201ED" w:rsidRDefault="005E40AD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бюджет Рязанской области</w:t>
            </w:r>
          </w:p>
        </w:tc>
        <w:tc>
          <w:tcPr>
            <w:tcW w:w="259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37A02" w:rsidRPr="002201ED" w:rsidRDefault="005E40AD" w:rsidP="002201E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23 200,0</w:t>
            </w:r>
            <w:r w:rsidR="0024618B"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4618B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33 941,87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037A02" w:rsidRPr="002201ED" w:rsidRDefault="005E40AD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37A02" w:rsidRPr="002201ED" w:rsidRDefault="005E40AD" w:rsidP="002201E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57 141,87</w:t>
            </w:r>
            <w:r w:rsidR="000D5C9D" w:rsidRPr="002201E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»</w:t>
            </w:r>
          </w:p>
        </w:tc>
      </w:tr>
    </w:tbl>
    <w:p w:rsidR="000D5C9D" w:rsidRPr="002201ED" w:rsidRDefault="000D5C9D" w:rsidP="002201ED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037A02" w:rsidRPr="002201ED" w:rsidRDefault="005E40AD" w:rsidP="002201ED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в разделе 7 «Организация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помощи»: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в таблице №</w:t>
      </w:r>
      <w:r w:rsidR="002D4C7B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1: 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 в графах 11,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13 пункт</w:t>
      </w:r>
      <w:r w:rsidR="002D4C7B" w:rsidRPr="002201ED">
        <w:rPr>
          <w:rFonts w:ascii="Times New Roman" w:hAnsi="Times New Roman"/>
          <w:sz w:val="28"/>
          <w:szCs w:val="28"/>
          <w:lang w:val="ru" w:eastAsia="zh-CN" w:bidi="ar"/>
        </w:rPr>
        <w:t>а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1 цифры «11 508 881,48» заменить</w:t>
      </w:r>
      <w:r w:rsidRPr="002201ED">
        <w:rPr>
          <w:rFonts w:ascii="Times New Roman" w:hAnsi="Times New Roman"/>
          <w:sz w:val="28"/>
          <w:szCs w:val="28"/>
          <w:lang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цифрами «14 008 800,00»;</w:t>
      </w:r>
    </w:p>
    <w:p w:rsidR="00037A02" w:rsidRPr="002201ED" w:rsidRDefault="005E40AD" w:rsidP="002201ED">
      <w:pPr>
        <w:pStyle w:val="msolistparagraph0"/>
        <w:ind w:left="0"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2201ED">
        <w:rPr>
          <w:rFonts w:ascii="Times New Roman" w:hAnsi="Times New Roman"/>
          <w:sz w:val="28"/>
          <w:szCs w:val="28"/>
          <w:lang w:val="ru"/>
        </w:rPr>
        <w:lastRenderedPageBreak/>
        <w:t>- в графах 11,</w:t>
      </w:r>
      <w:r w:rsidR="000D17AE" w:rsidRPr="002201ED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/>
        </w:rPr>
        <w:t>13 пункта 3 цифры «60 000 008,4</w:t>
      </w:r>
      <w:r w:rsidR="0024618B" w:rsidRPr="002201ED">
        <w:rPr>
          <w:rFonts w:ascii="Times New Roman" w:hAnsi="Times New Roman"/>
          <w:sz w:val="28"/>
          <w:szCs w:val="28"/>
          <w:lang w:val="ru"/>
        </w:rPr>
        <w:t>0</w:t>
      </w:r>
      <w:r w:rsidRPr="002201ED">
        <w:rPr>
          <w:rFonts w:ascii="Times New Roman" w:hAnsi="Times New Roman"/>
          <w:sz w:val="28"/>
          <w:szCs w:val="28"/>
          <w:lang w:val="ru"/>
        </w:rPr>
        <w:t>» заменить</w:t>
      </w:r>
      <w:r w:rsidRPr="002201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/>
        </w:rPr>
        <w:t>цифрами «30 000 986,16»;</w:t>
      </w:r>
    </w:p>
    <w:p w:rsidR="002D4C7B" w:rsidRPr="002201ED" w:rsidRDefault="002D4C7B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 в графах 11,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13 пункт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ов</w:t>
      </w:r>
      <w:r w:rsidR="00570CB2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5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, 8, 17, 24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цифры «11 508 881,48» заменить</w:t>
      </w:r>
      <w:r w:rsidRPr="002201ED">
        <w:rPr>
          <w:rFonts w:ascii="Times New Roman" w:hAnsi="Times New Roman"/>
          <w:sz w:val="28"/>
          <w:szCs w:val="28"/>
          <w:lang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цифрами «14 008 800,00»;</w:t>
      </w:r>
    </w:p>
    <w:p w:rsidR="003D2382" w:rsidRPr="00D40FF4" w:rsidRDefault="003D2382" w:rsidP="002201ED">
      <w:pPr>
        <w:ind w:firstLine="709"/>
        <w:jc w:val="both"/>
        <w:rPr>
          <w:rFonts w:ascii="Times New Roman" w:hAnsi="Times New Roman"/>
          <w:spacing w:val="-4"/>
          <w:sz w:val="28"/>
          <w:szCs w:val="28"/>
          <w:lang w:val="ru" w:eastAsia="zh-CN" w:bidi="ar"/>
        </w:rPr>
      </w:pPr>
      <w:proofErr w:type="gram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- в графах 3,</w:t>
      </w:r>
      <w:r w:rsidR="000D17AE"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 </w:t>
      </w:r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4 пункта 27 слова «Строительство объекта </w:t>
      </w:r>
      <w:r w:rsidRPr="00D40FF4">
        <w:rPr>
          <w:rFonts w:ascii="Times New Roman" w:hAnsi="Times New Roman"/>
          <w:spacing w:val="-4"/>
          <w:sz w:val="28"/>
          <w:szCs w:val="28"/>
          <w:lang w:eastAsia="zh-CN" w:bidi="ar"/>
        </w:rPr>
        <w:t>«</w:t>
      </w:r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Фельдшерско-акушерский пункт в с. Максы </w:t>
      </w:r>
      <w:proofErr w:type="spell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Сараевского</w:t>
      </w:r>
      <w:proofErr w:type="spellEnd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 района Рязанской области</w:t>
      </w:r>
      <w:r w:rsidRPr="00D40FF4">
        <w:rPr>
          <w:rFonts w:ascii="Times New Roman" w:hAnsi="Times New Roman"/>
          <w:spacing w:val="-4"/>
          <w:sz w:val="28"/>
          <w:szCs w:val="28"/>
          <w:lang w:eastAsia="zh-CN" w:bidi="ar"/>
        </w:rPr>
        <w:t xml:space="preserve">», </w:t>
      </w:r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«Рязанская область, муниципальный район </w:t>
      </w:r>
      <w:proofErr w:type="spell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Сараевский</w:t>
      </w:r>
      <w:proofErr w:type="spellEnd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, сельское поселение </w:t>
      </w:r>
      <w:proofErr w:type="spell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Муравлянское</w:t>
      </w:r>
      <w:proofErr w:type="spellEnd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, село Максы» заменить соответственно словами «Строительство объекта </w:t>
      </w:r>
      <w:r w:rsidRPr="00D40FF4">
        <w:rPr>
          <w:rFonts w:ascii="Times New Roman" w:hAnsi="Times New Roman"/>
          <w:spacing w:val="-4"/>
          <w:sz w:val="28"/>
          <w:szCs w:val="28"/>
          <w:lang w:eastAsia="zh-CN" w:bidi="ar"/>
        </w:rPr>
        <w:t>«</w:t>
      </w:r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Фельдшерско-акушерский пункт в с. Покровское </w:t>
      </w:r>
      <w:proofErr w:type="spell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Ухоловского</w:t>
      </w:r>
      <w:proofErr w:type="spellEnd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 района Рязанской области</w:t>
      </w:r>
      <w:r w:rsidRPr="00D40FF4">
        <w:rPr>
          <w:rFonts w:ascii="Times New Roman" w:hAnsi="Times New Roman"/>
          <w:spacing w:val="-4"/>
          <w:sz w:val="28"/>
          <w:szCs w:val="28"/>
          <w:lang w:eastAsia="zh-CN" w:bidi="ar"/>
        </w:rPr>
        <w:t>», «</w:t>
      </w:r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Рязанская область, муниципальный район </w:t>
      </w:r>
      <w:proofErr w:type="spell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Ухоловский</w:t>
      </w:r>
      <w:proofErr w:type="spellEnd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 xml:space="preserve">, сельское поселение </w:t>
      </w:r>
      <w:proofErr w:type="spellStart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Ольховское</w:t>
      </w:r>
      <w:proofErr w:type="spellEnd"/>
      <w:r w:rsidRPr="00D40FF4">
        <w:rPr>
          <w:rFonts w:ascii="Times New Roman" w:hAnsi="Times New Roman"/>
          <w:spacing w:val="-4"/>
          <w:sz w:val="28"/>
          <w:szCs w:val="28"/>
          <w:lang w:val="ru" w:eastAsia="zh-CN" w:bidi="ar"/>
        </w:rPr>
        <w:t>, село Покровское»;</w:t>
      </w:r>
      <w:proofErr w:type="gramEnd"/>
    </w:p>
    <w:p w:rsidR="002D4C7B" w:rsidRPr="002201ED" w:rsidRDefault="002D4C7B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 в графах 11,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13 пункт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ов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28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, 30, 33, 42, 44, 45, 51</w:t>
      </w:r>
      <w:r w:rsidR="00570CB2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цифры 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 xml:space="preserve">                     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«11 508 881,48» заменить</w:t>
      </w:r>
      <w:r w:rsidRPr="002201ED">
        <w:rPr>
          <w:rFonts w:ascii="Times New Roman" w:hAnsi="Times New Roman"/>
          <w:sz w:val="28"/>
          <w:szCs w:val="28"/>
          <w:lang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цифрами «14 008 800,00»;</w:t>
      </w:r>
    </w:p>
    <w:p w:rsidR="00C72171" w:rsidRPr="002201ED" w:rsidRDefault="00C72171" w:rsidP="002201ED">
      <w:pPr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2201ED">
        <w:rPr>
          <w:rFonts w:ascii="Times New Roman" w:hAnsi="Times New Roman"/>
          <w:sz w:val="28"/>
          <w:szCs w:val="28"/>
          <w:lang w:val="ru"/>
        </w:rPr>
        <w:t>- в графах 11,</w:t>
      </w:r>
      <w:r w:rsidR="000D17AE" w:rsidRPr="002201ED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/>
        </w:rPr>
        <w:t>15,</w:t>
      </w:r>
      <w:r w:rsidR="000D17AE" w:rsidRPr="002201ED">
        <w:rPr>
          <w:rFonts w:ascii="Times New Roman" w:hAnsi="Times New Roman"/>
          <w:sz w:val="28"/>
          <w:szCs w:val="28"/>
          <w:lang w:val="ru"/>
        </w:rPr>
        <w:t xml:space="preserve"> </w:t>
      </w:r>
      <w:r w:rsidR="00D40FF4">
        <w:rPr>
          <w:rFonts w:ascii="Times New Roman" w:hAnsi="Times New Roman"/>
          <w:sz w:val="28"/>
          <w:szCs w:val="28"/>
          <w:lang w:val="ru"/>
        </w:rPr>
        <w:t>16 пункта 55 цифры «1 475 070 </w:t>
      </w:r>
      <w:r w:rsidRPr="002201ED">
        <w:rPr>
          <w:rFonts w:ascii="Times New Roman" w:hAnsi="Times New Roman"/>
          <w:sz w:val="28"/>
          <w:szCs w:val="28"/>
          <w:lang w:val="ru"/>
        </w:rPr>
        <w:t xml:space="preserve">864,05», </w:t>
      </w:r>
      <w:r w:rsidR="00142C79" w:rsidRPr="002201ED">
        <w:rPr>
          <w:rFonts w:ascii="Times New Roman" w:hAnsi="Times New Roman"/>
          <w:sz w:val="28"/>
          <w:szCs w:val="28"/>
          <w:lang w:val="ru"/>
        </w:rPr>
        <w:t xml:space="preserve">                    </w:t>
      </w:r>
      <w:r w:rsidR="00D40FF4">
        <w:rPr>
          <w:rFonts w:ascii="Times New Roman" w:hAnsi="Times New Roman"/>
          <w:sz w:val="28"/>
          <w:szCs w:val="28"/>
          <w:lang w:val="ru"/>
        </w:rPr>
        <w:t>«497 110 945,28», «977 959 </w:t>
      </w:r>
      <w:r w:rsidRPr="002201ED">
        <w:rPr>
          <w:rFonts w:ascii="Times New Roman" w:hAnsi="Times New Roman"/>
          <w:sz w:val="28"/>
          <w:szCs w:val="28"/>
          <w:lang w:val="ru"/>
        </w:rPr>
        <w:t xml:space="preserve">918,77» заменить соответственно цифрами </w:t>
      </w:r>
      <w:r w:rsidR="00142C79" w:rsidRPr="002201ED">
        <w:rPr>
          <w:rFonts w:ascii="Times New Roman" w:hAnsi="Times New Roman"/>
          <w:sz w:val="28"/>
          <w:szCs w:val="28"/>
          <w:lang w:val="ru"/>
        </w:rPr>
        <w:t xml:space="preserve">         </w:t>
      </w:r>
      <w:r w:rsidR="00D40FF4">
        <w:rPr>
          <w:rFonts w:ascii="Times New Roman" w:hAnsi="Times New Roman"/>
          <w:sz w:val="28"/>
          <w:szCs w:val="28"/>
          <w:lang w:val="ru"/>
        </w:rPr>
        <w:t>«1 475 070 863,40», «471 754 701,90», «1 003 316 </w:t>
      </w:r>
      <w:r w:rsidRPr="002201ED">
        <w:rPr>
          <w:rFonts w:ascii="Times New Roman" w:hAnsi="Times New Roman"/>
          <w:sz w:val="28"/>
          <w:szCs w:val="28"/>
          <w:lang w:val="ru"/>
        </w:rPr>
        <w:t>161,50»;</w:t>
      </w:r>
    </w:p>
    <w:p w:rsidR="00037A02" w:rsidRPr="002201ED" w:rsidRDefault="005E40AD" w:rsidP="002201ED">
      <w:pPr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 в графах 11,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15,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16 </w:t>
      </w:r>
      <w:r w:rsidR="002D4C7B" w:rsidRPr="002201ED">
        <w:rPr>
          <w:rFonts w:ascii="Times New Roman" w:hAnsi="Times New Roman"/>
          <w:sz w:val="28"/>
          <w:szCs w:val="28"/>
          <w:lang w:val="ru" w:eastAsia="zh-CN" w:bidi="ar"/>
        </w:rPr>
        <w:t>строки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«</w:t>
      </w:r>
      <w:r w:rsidR="00C72171" w:rsidRPr="002201ED">
        <w:rPr>
          <w:rFonts w:ascii="Times New Roman" w:hAnsi="Times New Roman"/>
          <w:sz w:val="28"/>
          <w:szCs w:val="28"/>
          <w:lang w:val="ru" w:eastAsia="zh-CN" w:bidi="ar"/>
        </w:rPr>
        <w:t>ИТОГО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» цифры «2 220 940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179,52»,   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 xml:space="preserve">                           «694 408 530,00», «1 131 517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650,00»</w:t>
      </w:r>
      <w:r w:rsidRPr="002201ED">
        <w:rPr>
          <w:rFonts w:ascii="Times New Roman" w:hAnsi="Times New Roman"/>
          <w:sz w:val="28"/>
          <w:szCs w:val="28"/>
          <w:lang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заменить соответственно цифрами         «2 220 940 178,87», «669 052 286,62», «1 156 873 892,73»;</w:t>
      </w:r>
    </w:p>
    <w:p w:rsidR="00352D7D" w:rsidRPr="002201ED" w:rsidRDefault="00352D7D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в таблице №</w:t>
      </w:r>
      <w:r w:rsidR="002D4C7B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2:</w:t>
      </w:r>
    </w:p>
    <w:p w:rsidR="00F45877" w:rsidRPr="002201ED" w:rsidRDefault="00F45877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</w:t>
      </w:r>
      <w:r w:rsidR="002201ED" w:rsidRPr="002201ED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в графах 10,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12,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13 пункта 41 цифры «1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824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946,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19», «0,00»,  «1 824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946,19» заменить соответственно цифрами «2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873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313,99»,                   «2 873 313,99», «0,00»;</w:t>
      </w:r>
    </w:p>
    <w:p w:rsidR="00F45877" w:rsidRPr="002201ED" w:rsidRDefault="00F45877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 в графах 10,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12,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13 пункта 43 цифры «2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873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313,99», «2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873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313,99», «0,00» зам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енить соответственно цифрами «1 824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946,19», «0,00»,                    «1 824 946,19»;</w:t>
      </w:r>
    </w:p>
    <w:p w:rsidR="00352D7D" w:rsidRPr="002201ED" w:rsidRDefault="00480412" w:rsidP="002201ED">
      <w:pPr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 в графах 1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0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,</w:t>
      </w:r>
      <w:r w:rsidR="000D17AE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>1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2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пункта 49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 xml:space="preserve"> цифры «64 998 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176,59», «19 999 438,95» заменить соответственно цифрами «</w:t>
      </w:r>
      <w:r w:rsidR="00F45877" w:rsidRPr="002201ED">
        <w:rPr>
          <w:rFonts w:ascii="Times New Roman" w:hAnsi="Times New Roman"/>
          <w:color w:val="000000"/>
          <w:sz w:val="28"/>
          <w:szCs w:val="28"/>
        </w:rPr>
        <w:t>52 798 176,59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», «</w:t>
      </w:r>
      <w:r w:rsidR="00F45877" w:rsidRPr="002201ED">
        <w:rPr>
          <w:rFonts w:ascii="Times New Roman" w:hAnsi="Times New Roman"/>
          <w:color w:val="000000"/>
          <w:sz w:val="28"/>
          <w:szCs w:val="28"/>
        </w:rPr>
        <w:t>7 799 438,95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»;</w:t>
      </w:r>
    </w:p>
    <w:p w:rsidR="00352D7D" w:rsidRPr="002201ED" w:rsidRDefault="00480412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</w:t>
      </w:r>
      <w:r w:rsidR="002201ED" w:rsidRPr="002201ED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в графах </w:t>
      </w:r>
      <w:r w:rsidR="00D40FF4" w:rsidRPr="00D40FF4">
        <w:rPr>
          <w:rFonts w:ascii="Times New Roman" w:hAnsi="Times New Roman"/>
          <w:sz w:val="28"/>
          <w:szCs w:val="28"/>
          <w:lang w:val="ru" w:eastAsia="zh-CN" w:bidi="ar"/>
        </w:rPr>
        <w:t xml:space="preserve">10, 12 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строки</w:t>
      </w:r>
      <w:r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«ИТОГО»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 xml:space="preserve"> цифры «762 556 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83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1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,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54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»,              «242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224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 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48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7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,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39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» замен</w:t>
      </w:r>
      <w:r w:rsidR="00D40FF4">
        <w:rPr>
          <w:rFonts w:ascii="Times New Roman" w:hAnsi="Times New Roman"/>
          <w:sz w:val="28"/>
          <w:szCs w:val="28"/>
          <w:lang w:val="ru" w:eastAsia="zh-CN" w:bidi="ar"/>
        </w:rPr>
        <w:t>ить соответственно цифрами «755 356 </w:t>
      </w:r>
      <w:r w:rsidR="00352D7D" w:rsidRPr="002201ED">
        <w:rPr>
          <w:rFonts w:ascii="Times New Roman" w:hAnsi="Times New Roman"/>
          <w:sz w:val="28"/>
          <w:szCs w:val="28"/>
          <w:lang w:val="ru" w:eastAsia="zh-CN" w:bidi="ar"/>
        </w:rPr>
        <w:t>831,54»,       «235 024 487,39»;</w:t>
      </w:r>
    </w:p>
    <w:p w:rsidR="00F45877" w:rsidRPr="002201ED" w:rsidRDefault="002201ED" w:rsidP="002201ED">
      <w:pPr>
        <w:ind w:firstLine="709"/>
        <w:jc w:val="both"/>
        <w:rPr>
          <w:rFonts w:ascii="Times New Roman" w:hAnsi="Times New Roman"/>
          <w:sz w:val="28"/>
          <w:szCs w:val="28"/>
          <w:lang w:val="ru" w:eastAsia="zh-CN" w:bidi="ar"/>
        </w:rPr>
      </w:pPr>
      <w:r w:rsidRPr="002201ED">
        <w:rPr>
          <w:rFonts w:ascii="Times New Roman" w:hAnsi="Times New Roman"/>
          <w:sz w:val="28"/>
          <w:szCs w:val="28"/>
          <w:lang w:val="ru" w:eastAsia="zh-CN" w:bidi="ar"/>
        </w:rPr>
        <w:t>- </w:t>
      </w:r>
      <w:r w:rsidR="00F45877" w:rsidRPr="002201ED">
        <w:rPr>
          <w:rFonts w:ascii="Times New Roman" w:hAnsi="Times New Roman"/>
          <w:sz w:val="28"/>
          <w:szCs w:val="28"/>
          <w:lang w:val="ru" w:eastAsia="zh-CN" w:bidi="ar"/>
        </w:rPr>
        <w:t>дополнить</w:t>
      </w:r>
      <w:r w:rsidR="001E5826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пунктом 159</w:t>
      </w:r>
      <w:r w:rsidR="002D4C7B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следующего содержания</w:t>
      </w:r>
      <w:r w:rsidR="001E5826" w:rsidRPr="002201ED">
        <w:rPr>
          <w:rFonts w:ascii="Times New Roman" w:hAnsi="Times New Roman"/>
          <w:sz w:val="28"/>
          <w:szCs w:val="28"/>
          <w:lang w:val="ru" w:eastAsia="zh-CN" w:bidi="ar"/>
        </w:rPr>
        <w:t xml:space="preserve"> согласно </w:t>
      </w:r>
      <w:r w:rsidR="001E5826" w:rsidRPr="002201ED">
        <w:rPr>
          <w:rFonts w:ascii="Times New Roman" w:hAnsi="Times New Roman"/>
          <w:sz w:val="28"/>
          <w:szCs w:val="28"/>
        </w:rPr>
        <w:t>приложению №</w:t>
      </w:r>
      <w:r w:rsidR="002D4C7B" w:rsidRPr="002201ED">
        <w:rPr>
          <w:rFonts w:ascii="Times New Roman" w:hAnsi="Times New Roman"/>
          <w:sz w:val="28"/>
          <w:szCs w:val="28"/>
        </w:rPr>
        <w:t xml:space="preserve"> </w:t>
      </w:r>
      <w:r w:rsidR="001E5826" w:rsidRPr="002201ED">
        <w:rPr>
          <w:rFonts w:ascii="Times New Roman" w:hAnsi="Times New Roman"/>
          <w:sz w:val="28"/>
          <w:szCs w:val="28"/>
        </w:rPr>
        <w:t>1 к настоящему распоряжению;</w:t>
      </w:r>
    </w:p>
    <w:p w:rsidR="00037A02" w:rsidRPr="002201ED" w:rsidRDefault="00636093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E40AD" w:rsidRPr="002201ED">
        <w:rPr>
          <w:rFonts w:ascii="Times New Roman" w:hAnsi="Times New Roman"/>
          <w:sz w:val="28"/>
          <w:szCs w:val="28"/>
        </w:rPr>
        <w:t>дополнить таблицей № 3 «</w:t>
      </w:r>
      <w:r w:rsidR="005E40AD" w:rsidRPr="002201ED">
        <w:rPr>
          <w:rFonts w:ascii="Times New Roman" w:hAnsi="Times New Roman"/>
          <w:color w:val="000000"/>
          <w:sz w:val="28"/>
          <w:szCs w:val="28"/>
        </w:rPr>
        <w:t xml:space="preserve"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здравпунктов» </w:t>
      </w:r>
      <w:r w:rsidR="005E40AD" w:rsidRPr="002201ED">
        <w:rPr>
          <w:rFonts w:ascii="Times New Roman" w:hAnsi="Times New Roman"/>
          <w:sz w:val="28"/>
          <w:szCs w:val="28"/>
        </w:rPr>
        <w:t>согласно приложению</w:t>
      </w:r>
      <w:r w:rsidR="00CE0A2D" w:rsidRPr="002201ED">
        <w:rPr>
          <w:rFonts w:ascii="Times New Roman" w:hAnsi="Times New Roman"/>
          <w:sz w:val="28"/>
          <w:szCs w:val="28"/>
        </w:rPr>
        <w:t xml:space="preserve"> №</w:t>
      </w:r>
      <w:r w:rsidR="002D4C7B" w:rsidRPr="002201ED">
        <w:rPr>
          <w:rFonts w:ascii="Times New Roman" w:hAnsi="Times New Roman"/>
          <w:sz w:val="28"/>
          <w:szCs w:val="28"/>
        </w:rPr>
        <w:t xml:space="preserve"> </w:t>
      </w:r>
      <w:r w:rsidR="001E5826" w:rsidRPr="002201ED">
        <w:rPr>
          <w:rFonts w:ascii="Times New Roman" w:hAnsi="Times New Roman"/>
          <w:sz w:val="28"/>
          <w:szCs w:val="28"/>
        </w:rPr>
        <w:t>2</w:t>
      </w:r>
      <w:r w:rsidR="002D4C7B" w:rsidRPr="002201ED">
        <w:rPr>
          <w:rFonts w:ascii="Times New Roman" w:hAnsi="Times New Roman"/>
          <w:sz w:val="28"/>
          <w:szCs w:val="28"/>
        </w:rPr>
        <w:t xml:space="preserve"> к настоящему распоряжению;</w:t>
      </w:r>
    </w:p>
    <w:p w:rsidR="00CE0A2D" w:rsidRPr="002201ED" w:rsidRDefault="002201ED" w:rsidP="0022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1ED">
        <w:rPr>
          <w:rFonts w:ascii="Times New Roman" w:hAnsi="Times New Roman"/>
          <w:sz w:val="28"/>
          <w:szCs w:val="28"/>
        </w:rPr>
        <w:t>3) </w:t>
      </w:r>
      <w:r w:rsidR="005D71D2" w:rsidRPr="002201ED">
        <w:rPr>
          <w:rFonts w:ascii="Times New Roman" w:hAnsi="Times New Roman"/>
          <w:sz w:val="28"/>
          <w:szCs w:val="28"/>
        </w:rPr>
        <w:t xml:space="preserve">дополнить </w:t>
      </w:r>
      <w:r w:rsidR="00CE0A2D" w:rsidRPr="002201ED">
        <w:rPr>
          <w:rFonts w:ascii="Times New Roman" w:hAnsi="Times New Roman"/>
          <w:sz w:val="28"/>
          <w:szCs w:val="28"/>
        </w:rPr>
        <w:t>раздел</w:t>
      </w:r>
      <w:r w:rsidR="00C72171" w:rsidRPr="002201ED">
        <w:rPr>
          <w:rFonts w:ascii="Times New Roman" w:hAnsi="Times New Roman"/>
          <w:sz w:val="28"/>
          <w:szCs w:val="28"/>
        </w:rPr>
        <w:t>ом</w:t>
      </w:r>
      <w:r w:rsidR="00CE0A2D" w:rsidRPr="002201ED">
        <w:rPr>
          <w:rFonts w:ascii="Times New Roman" w:hAnsi="Times New Roman"/>
          <w:sz w:val="28"/>
          <w:szCs w:val="28"/>
        </w:rPr>
        <w:t xml:space="preserve"> 11 «</w:t>
      </w:r>
      <w:proofErr w:type="spellStart"/>
      <w:r w:rsidR="00CE0A2D" w:rsidRPr="002201ED">
        <w:rPr>
          <w:rFonts w:ascii="Times New Roman" w:hAnsi="Times New Roman"/>
          <w:sz w:val="28"/>
          <w:szCs w:val="28"/>
        </w:rPr>
        <w:t>Несофинансируемые</w:t>
      </w:r>
      <w:proofErr w:type="spellEnd"/>
      <w:r w:rsidR="00CE0A2D" w:rsidRPr="002201ED">
        <w:rPr>
          <w:rFonts w:ascii="Times New Roman" w:hAnsi="Times New Roman"/>
          <w:sz w:val="28"/>
          <w:szCs w:val="28"/>
        </w:rPr>
        <w:t xml:space="preserve"> расходы за счет средств федерального бюджета расходы бюджета Рязанской области» согласно приложению № </w:t>
      </w:r>
      <w:r w:rsidR="001E5826" w:rsidRPr="002201ED">
        <w:rPr>
          <w:rFonts w:ascii="Times New Roman" w:hAnsi="Times New Roman"/>
          <w:sz w:val="28"/>
          <w:szCs w:val="28"/>
        </w:rPr>
        <w:t>3</w:t>
      </w:r>
      <w:r w:rsidR="00CE0A2D" w:rsidRPr="002201ED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A92413" w:rsidRPr="002201ED" w:rsidRDefault="00A92413">
      <w:pPr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37A02" w:rsidRDefault="00037A02">
      <w:pPr>
        <w:ind w:right="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699"/>
        <w:gridCol w:w="3263"/>
      </w:tblGrid>
      <w:tr w:rsidR="00037A02" w:rsidRPr="002201ED">
        <w:tc>
          <w:tcPr>
            <w:tcW w:w="4531" w:type="dxa"/>
          </w:tcPr>
          <w:p w:rsidR="00037A02" w:rsidRPr="002201ED" w:rsidRDefault="002D4C7B" w:rsidP="002201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1ED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</w:t>
            </w:r>
            <w:r w:rsidR="005E40AD" w:rsidRPr="002201ED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699" w:type="dxa"/>
          </w:tcPr>
          <w:p w:rsidR="00037A02" w:rsidRPr="002201ED" w:rsidRDefault="00037A02" w:rsidP="002201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0D17AE" w:rsidRPr="002201ED" w:rsidRDefault="000D17AE" w:rsidP="002201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7A02" w:rsidRPr="002201ED" w:rsidRDefault="000D5C9D" w:rsidP="002201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01ED">
              <w:rPr>
                <w:rFonts w:ascii="Times New Roman" w:hAnsi="Times New Roman"/>
                <w:sz w:val="28"/>
                <w:szCs w:val="28"/>
              </w:rPr>
              <w:t>А.Н.</w:t>
            </w:r>
            <w:r w:rsidR="000D17AE" w:rsidRPr="0022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1ED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037A02" w:rsidRDefault="00037A02" w:rsidP="002D4C7B">
      <w:pPr>
        <w:spacing w:line="192" w:lineRule="auto"/>
        <w:jc w:val="both"/>
        <w:rPr>
          <w:sz w:val="28"/>
          <w:szCs w:val="28"/>
        </w:rPr>
      </w:pPr>
    </w:p>
    <w:sectPr w:rsidR="00037A02" w:rsidSect="002201ED">
      <w:headerReference w:type="default" r:id="rId17"/>
      <w:type w:val="continuous"/>
      <w:pgSz w:w="11907" w:h="16834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6A" w:rsidRDefault="00BD586A">
      <w:r>
        <w:separator/>
      </w:r>
    </w:p>
  </w:endnote>
  <w:endnote w:type="continuationSeparator" w:id="0">
    <w:p w:rsidR="00BD586A" w:rsidRDefault="00B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Layout w:type="fixed"/>
      <w:tblLook w:val="04A0" w:firstRow="1" w:lastRow="0" w:firstColumn="1" w:lastColumn="0" w:noHBand="0" w:noVBand="1"/>
    </w:tblPr>
    <w:tblGrid>
      <w:gridCol w:w="1265"/>
      <w:gridCol w:w="325"/>
      <w:gridCol w:w="5718"/>
      <w:gridCol w:w="500"/>
      <w:gridCol w:w="1738"/>
    </w:tblGrid>
    <w:tr w:rsidR="00BC2B7F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BC2B7F" w:rsidRDefault="00BC2B7F">
          <w:pPr>
            <w:pStyle w:val="ab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72C57FB6" wp14:editId="1DC157F0">
                <wp:extent cx="666750" cy="285750"/>
                <wp:effectExtent l="0" t="0" r="0" b="0"/>
                <wp:docPr id="1" name="Рисунок 1" descr="защита_6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BC2B7F" w:rsidRDefault="00BC2B7F">
          <w:pPr>
            <w:pStyle w:val="ab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D575E8B" wp14:editId="3BD2B17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BC2B7F" w:rsidRDefault="002201ED" w:rsidP="005A1A90">
          <w:pPr>
            <w:pStyle w:val="ab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 xml:space="preserve">6538  </w:t>
          </w:r>
          <w:r w:rsidR="005A1A90">
            <w:rPr>
              <w:rFonts w:ascii="Times New Roman" w:hAnsi="Times New Roman"/>
              <w:position w:val="-14"/>
            </w:rPr>
            <w:t>22</w:t>
          </w:r>
          <w:r>
            <w:rPr>
              <w:rFonts w:ascii="Times New Roman" w:hAnsi="Times New Roman"/>
              <w:position w:val="-14"/>
              <w:lang w:val="en-US"/>
            </w:rPr>
            <w:t>.</w:t>
          </w:r>
          <w:r w:rsidR="005A1A90">
            <w:rPr>
              <w:rFonts w:ascii="Times New Roman" w:hAnsi="Times New Roman"/>
              <w:position w:val="-14"/>
            </w:rPr>
            <w:t>1</w:t>
          </w:r>
          <w:r>
            <w:rPr>
              <w:rFonts w:ascii="Times New Roman" w:hAnsi="Times New Roman"/>
              <w:position w:val="-14"/>
              <w:lang w:val="en-US"/>
            </w:rPr>
            <w:t>2.202</w:t>
          </w:r>
          <w:r w:rsidR="005A1A90">
            <w:rPr>
              <w:rFonts w:ascii="Times New Roman" w:hAnsi="Times New Roman"/>
              <w:position w:val="-14"/>
            </w:rPr>
            <w:t>1</w:t>
          </w:r>
          <w:r>
            <w:rPr>
              <w:rFonts w:ascii="Times New Roman" w:hAnsi="Times New Roman"/>
              <w:position w:val="-14"/>
              <w:lang w:val="en-US"/>
            </w:rPr>
            <w:t xml:space="preserve"> 12:46:05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BC2B7F" w:rsidRDefault="00BC2B7F">
          <w:pPr>
            <w:pStyle w:val="ab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BC2B7F" w:rsidRDefault="00BC2B7F">
          <w:pPr>
            <w:pStyle w:val="ab"/>
            <w:spacing w:before="40"/>
            <w:rPr>
              <w:b/>
              <w:spacing w:val="30"/>
            </w:rPr>
          </w:pPr>
        </w:p>
      </w:tc>
    </w:tr>
  </w:tbl>
  <w:p w:rsidR="00BC2B7F" w:rsidRDefault="00BC2B7F">
    <w:pPr>
      <w:pStyle w:val="ab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BC2B7F">
      <w:tc>
        <w:tcPr>
          <w:tcW w:w="2538" w:type="dxa"/>
        </w:tcPr>
        <w:p w:rsidR="00BC2B7F" w:rsidRDefault="00BC2B7F">
          <w:pPr>
            <w:pStyle w:val="ab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BC2B7F" w:rsidRDefault="00BC2B7F">
          <w:pPr>
            <w:pStyle w:val="ab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BC2B7F" w:rsidRDefault="00BC2B7F">
          <w:pPr>
            <w:pStyle w:val="ab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BC2B7F" w:rsidRDefault="00BC2B7F">
          <w:pPr>
            <w:pStyle w:val="ab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C2B7F" w:rsidRDefault="00BC2B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6A" w:rsidRDefault="00BD586A">
      <w:r>
        <w:separator/>
      </w:r>
    </w:p>
  </w:footnote>
  <w:footnote w:type="continuationSeparator" w:id="0">
    <w:p w:rsidR="00BD586A" w:rsidRDefault="00BD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7F" w:rsidRDefault="00BC2B7F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BC2B7F" w:rsidRDefault="00BC2B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7F" w:rsidRDefault="00BC2B7F">
    <w:pPr>
      <w:pStyle w:val="a9"/>
      <w:framePr w:w="326" w:wrap="around" w:vAnchor="text" w:hAnchor="page" w:x="6486" w:y="321"/>
      <w:rPr>
        <w:rStyle w:val="a4"/>
        <w:rFonts w:ascii="Times New Roman" w:hAnsi="Times New Roman"/>
        <w:sz w:val="28"/>
        <w:szCs w:val="28"/>
      </w:rPr>
    </w:pPr>
  </w:p>
  <w:p w:rsidR="00BC2B7F" w:rsidRDefault="00BC2B7F">
    <w:pPr>
      <w:pStyle w:val="a9"/>
      <w:framePr w:w="326" w:wrap="around" w:vAnchor="text" w:hAnchor="page" w:x="6486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 w:rsidR="00636093">
      <w:rPr>
        <w:rStyle w:val="a4"/>
        <w:rFonts w:ascii="Times New Roman" w:hAnsi="Times New Roman"/>
        <w:noProof/>
        <w:sz w:val="28"/>
        <w:szCs w:val="28"/>
      </w:rPr>
      <w:t>3</w:t>
    </w:r>
    <w:r>
      <w:rPr>
        <w:rStyle w:val="a4"/>
        <w:rFonts w:ascii="Times New Roman" w:hAnsi="Times New Roman"/>
        <w:sz w:val="28"/>
        <w:szCs w:val="28"/>
      </w:rPr>
      <w:fldChar w:fldCharType="end"/>
    </w:r>
  </w:p>
  <w:p w:rsidR="00BC2B7F" w:rsidRDefault="00BC2B7F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AE0F"/>
    <w:multiLevelType w:val="singleLevel"/>
    <w:tmpl w:val="103EAE0F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425"/>
  <w:doNotHyphenateCaps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5D"/>
    <w:rsid w:val="0001360F"/>
    <w:rsid w:val="00016E2A"/>
    <w:rsid w:val="00017832"/>
    <w:rsid w:val="00026CDB"/>
    <w:rsid w:val="000329D7"/>
    <w:rsid w:val="000331B3"/>
    <w:rsid w:val="00033413"/>
    <w:rsid w:val="00037A02"/>
    <w:rsid w:val="00037C0C"/>
    <w:rsid w:val="000455AD"/>
    <w:rsid w:val="000455F8"/>
    <w:rsid w:val="000502A3"/>
    <w:rsid w:val="00052ACC"/>
    <w:rsid w:val="00056DEB"/>
    <w:rsid w:val="00073A7A"/>
    <w:rsid w:val="00076D5E"/>
    <w:rsid w:val="000815C6"/>
    <w:rsid w:val="00084DD3"/>
    <w:rsid w:val="000917C0"/>
    <w:rsid w:val="0009477B"/>
    <w:rsid w:val="000A6EAB"/>
    <w:rsid w:val="000B0736"/>
    <w:rsid w:val="000C7403"/>
    <w:rsid w:val="000D17AE"/>
    <w:rsid w:val="000D3F1E"/>
    <w:rsid w:val="000D5C9D"/>
    <w:rsid w:val="0010400B"/>
    <w:rsid w:val="00122CFD"/>
    <w:rsid w:val="00142C79"/>
    <w:rsid w:val="00151370"/>
    <w:rsid w:val="00162E72"/>
    <w:rsid w:val="00175BE5"/>
    <w:rsid w:val="00176CDF"/>
    <w:rsid w:val="001850F4"/>
    <w:rsid w:val="001864FC"/>
    <w:rsid w:val="001947BE"/>
    <w:rsid w:val="001A560F"/>
    <w:rsid w:val="001B0982"/>
    <w:rsid w:val="001B32BA"/>
    <w:rsid w:val="001E0317"/>
    <w:rsid w:val="001E20F1"/>
    <w:rsid w:val="001E5826"/>
    <w:rsid w:val="001F12E8"/>
    <w:rsid w:val="001F228C"/>
    <w:rsid w:val="001F64B8"/>
    <w:rsid w:val="001F7C83"/>
    <w:rsid w:val="00203046"/>
    <w:rsid w:val="00205AB5"/>
    <w:rsid w:val="002201ED"/>
    <w:rsid w:val="00224DBA"/>
    <w:rsid w:val="00231F1C"/>
    <w:rsid w:val="0024181C"/>
    <w:rsid w:val="00242DDB"/>
    <w:rsid w:val="0024618B"/>
    <w:rsid w:val="002479A2"/>
    <w:rsid w:val="0026087E"/>
    <w:rsid w:val="00261DE0"/>
    <w:rsid w:val="00265420"/>
    <w:rsid w:val="002700BB"/>
    <w:rsid w:val="00274E14"/>
    <w:rsid w:val="00280A6D"/>
    <w:rsid w:val="002953B6"/>
    <w:rsid w:val="00297B47"/>
    <w:rsid w:val="002B7A59"/>
    <w:rsid w:val="002C6B4B"/>
    <w:rsid w:val="002D0C50"/>
    <w:rsid w:val="002D4C7B"/>
    <w:rsid w:val="002E5034"/>
    <w:rsid w:val="002E51A7"/>
    <w:rsid w:val="002F1E81"/>
    <w:rsid w:val="003009B9"/>
    <w:rsid w:val="003077EC"/>
    <w:rsid w:val="00310D92"/>
    <w:rsid w:val="003160CB"/>
    <w:rsid w:val="003222A3"/>
    <w:rsid w:val="00325DD5"/>
    <w:rsid w:val="003331AE"/>
    <w:rsid w:val="0035185A"/>
    <w:rsid w:val="00352D7D"/>
    <w:rsid w:val="003558C4"/>
    <w:rsid w:val="00360A40"/>
    <w:rsid w:val="003870C2"/>
    <w:rsid w:val="003901AA"/>
    <w:rsid w:val="003A4EC6"/>
    <w:rsid w:val="003B7E9C"/>
    <w:rsid w:val="003C12D3"/>
    <w:rsid w:val="003D2382"/>
    <w:rsid w:val="003D3B8A"/>
    <w:rsid w:val="003D54F8"/>
    <w:rsid w:val="003D56E0"/>
    <w:rsid w:val="003D7B95"/>
    <w:rsid w:val="003E4473"/>
    <w:rsid w:val="003E6591"/>
    <w:rsid w:val="003F4F5E"/>
    <w:rsid w:val="00400906"/>
    <w:rsid w:val="0041075F"/>
    <w:rsid w:val="0042590E"/>
    <w:rsid w:val="00433581"/>
    <w:rsid w:val="00437F65"/>
    <w:rsid w:val="00460FEA"/>
    <w:rsid w:val="00463451"/>
    <w:rsid w:val="004734B7"/>
    <w:rsid w:val="00476404"/>
    <w:rsid w:val="00477B2F"/>
    <w:rsid w:val="00480412"/>
    <w:rsid w:val="00481B88"/>
    <w:rsid w:val="00485B4F"/>
    <w:rsid w:val="004862D1"/>
    <w:rsid w:val="004947EE"/>
    <w:rsid w:val="004A5895"/>
    <w:rsid w:val="004B221E"/>
    <w:rsid w:val="004B2D5A"/>
    <w:rsid w:val="004D0AB1"/>
    <w:rsid w:val="004D293D"/>
    <w:rsid w:val="004E58E8"/>
    <w:rsid w:val="004F2410"/>
    <w:rsid w:val="004F44FE"/>
    <w:rsid w:val="00503E9E"/>
    <w:rsid w:val="00505318"/>
    <w:rsid w:val="00505FA0"/>
    <w:rsid w:val="00512A47"/>
    <w:rsid w:val="005148A2"/>
    <w:rsid w:val="00531C68"/>
    <w:rsid w:val="00532119"/>
    <w:rsid w:val="005330B3"/>
    <w:rsid w:val="005335F3"/>
    <w:rsid w:val="00543C38"/>
    <w:rsid w:val="00543D2D"/>
    <w:rsid w:val="00545A3D"/>
    <w:rsid w:val="00546DBB"/>
    <w:rsid w:val="00547952"/>
    <w:rsid w:val="00561A5B"/>
    <w:rsid w:val="0057074C"/>
    <w:rsid w:val="00570CB2"/>
    <w:rsid w:val="00573FBF"/>
    <w:rsid w:val="00574FF3"/>
    <w:rsid w:val="00580F28"/>
    <w:rsid w:val="005814D9"/>
    <w:rsid w:val="00582538"/>
    <w:rsid w:val="005838EA"/>
    <w:rsid w:val="00585EE1"/>
    <w:rsid w:val="0058632B"/>
    <w:rsid w:val="00590C0E"/>
    <w:rsid w:val="005939E6"/>
    <w:rsid w:val="005A1A90"/>
    <w:rsid w:val="005A4227"/>
    <w:rsid w:val="005A6865"/>
    <w:rsid w:val="005A68F4"/>
    <w:rsid w:val="005B229B"/>
    <w:rsid w:val="005B3518"/>
    <w:rsid w:val="005C1EE3"/>
    <w:rsid w:val="005C56AE"/>
    <w:rsid w:val="005C7449"/>
    <w:rsid w:val="005D71D2"/>
    <w:rsid w:val="005E40AD"/>
    <w:rsid w:val="005E6D99"/>
    <w:rsid w:val="005E7BBB"/>
    <w:rsid w:val="005F1F93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6093"/>
    <w:rsid w:val="00643CF9"/>
    <w:rsid w:val="00644236"/>
    <w:rsid w:val="006471E5"/>
    <w:rsid w:val="00650FC4"/>
    <w:rsid w:val="00671D3B"/>
    <w:rsid w:val="00684A5B"/>
    <w:rsid w:val="006A1F71"/>
    <w:rsid w:val="006C0924"/>
    <w:rsid w:val="006E0647"/>
    <w:rsid w:val="006F328B"/>
    <w:rsid w:val="006F5886"/>
    <w:rsid w:val="00707734"/>
    <w:rsid w:val="00707E19"/>
    <w:rsid w:val="00712F7C"/>
    <w:rsid w:val="0072067B"/>
    <w:rsid w:val="0072328A"/>
    <w:rsid w:val="00724B99"/>
    <w:rsid w:val="00730713"/>
    <w:rsid w:val="00733999"/>
    <w:rsid w:val="007377B5"/>
    <w:rsid w:val="007451A2"/>
    <w:rsid w:val="00746CC2"/>
    <w:rsid w:val="0075529F"/>
    <w:rsid w:val="00756A2D"/>
    <w:rsid w:val="00760323"/>
    <w:rsid w:val="00763BA0"/>
    <w:rsid w:val="00765600"/>
    <w:rsid w:val="00770AE7"/>
    <w:rsid w:val="007902B7"/>
    <w:rsid w:val="00791C9F"/>
    <w:rsid w:val="00792AAB"/>
    <w:rsid w:val="00793B47"/>
    <w:rsid w:val="007A1D0C"/>
    <w:rsid w:val="007A2A7B"/>
    <w:rsid w:val="007B4EA5"/>
    <w:rsid w:val="007D4925"/>
    <w:rsid w:val="007E29F7"/>
    <w:rsid w:val="007F0B31"/>
    <w:rsid w:val="007F0C8A"/>
    <w:rsid w:val="007F11AB"/>
    <w:rsid w:val="007F54EF"/>
    <w:rsid w:val="008052D7"/>
    <w:rsid w:val="00805C29"/>
    <w:rsid w:val="00806E92"/>
    <w:rsid w:val="008143CB"/>
    <w:rsid w:val="00823A90"/>
    <w:rsid w:val="00823CA1"/>
    <w:rsid w:val="008513B9"/>
    <w:rsid w:val="008702D3"/>
    <w:rsid w:val="0087597D"/>
    <w:rsid w:val="00876034"/>
    <w:rsid w:val="008827E7"/>
    <w:rsid w:val="008A1696"/>
    <w:rsid w:val="008C46EA"/>
    <w:rsid w:val="008C58FE"/>
    <w:rsid w:val="008D46D7"/>
    <w:rsid w:val="008E6C41"/>
    <w:rsid w:val="008F0816"/>
    <w:rsid w:val="008F6BB7"/>
    <w:rsid w:val="00900F42"/>
    <w:rsid w:val="00907307"/>
    <w:rsid w:val="00932E3C"/>
    <w:rsid w:val="00947732"/>
    <w:rsid w:val="0095252F"/>
    <w:rsid w:val="0095608D"/>
    <w:rsid w:val="009573D3"/>
    <w:rsid w:val="00980E38"/>
    <w:rsid w:val="009977FF"/>
    <w:rsid w:val="009A085B"/>
    <w:rsid w:val="009A3951"/>
    <w:rsid w:val="009A48A9"/>
    <w:rsid w:val="009B16BE"/>
    <w:rsid w:val="009C1DE6"/>
    <w:rsid w:val="009C1F0E"/>
    <w:rsid w:val="009C2FDE"/>
    <w:rsid w:val="009C467C"/>
    <w:rsid w:val="009D3E8C"/>
    <w:rsid w:val="009E3A0E"/>
    <w:rsid w:val="009F38EB"/>
    <w:rsid w:val="00A1314B"/>
    <w:rsid w:val="00A13160"/>
    <w:rsid w:val="00A137D3"/>
    <w:rsid w:val="00A36AA6"/>
    <w:rsid w:val="00A37D34"/>
    <w:rsid w:val="00A44A8F"/>
    <w:rsid w:val="00A51D96"/>
    <w:rsid w:val="00A80D87"/>
    <w:rsid w:val="00A92413"/>
    <w:rsid w:val="00A96F84"/>
    <w:rsid w:val="00AB0A3C"/>
    <w:rsid w:val="00AB696C"/>
    <w:rsid w:val="00AB736E"/>
    <w:rsid w:val="00AC3953"/>
    <w:rsid w:val="00AC5D1B"/>
    <w:rsid w:val="00AC7150"/>
    <w:rsid w:val="00AE1DCA"/>
    <w:rsid w:val="00AF5F7C"/>
    <w:rsid w:val="00B00C56"/>
    <w:rsid w:val="00B02207"/>
    <w:rsid w:val="00B03403"/>
    <w:rsid w:val="00B10324"/>
    <w:rsid w:val="00B376B1"/>
    <w:rsid w:val="00B529FD"/>
    <w:rsid w:val="00B620D9"/>
    <w:rsid w:val="00B633DB"/>
    <w:rsid w:val="00B639ED"/>
    <w:rsid w:val="00B66081"/>
    <w:rsid w:val="00B66A8C"/>
    <w:rsid w:val="00B67B47"/>
    <w:rsid w:val="00B8061C"/>
    <w:rsid w:val="00B83BA2"/>
    <w:rsid w:val="00B83C92"/>
    <w:rsid w:val="00B853AA"/>
    <w:rsid w:val="00B875BF"/>
    <w:rsid w:val="00B91F62"/>
    <w:rsid w:val="00B975A8"/>
    <w:rsid w:val="00BB2C98"/>
    <w:rsid w:val="00BC2B7F"/>
    <w:rsid w:val="00BC4D3E"/>
    <w:rsid w:val="00BD0B82"/>
    <w:rsid w:val="00BD586A"/>
    <w:rsid w:val="00BF4F5F"/>
    <w:rsid w:val="00C04EEB"/>
    <w:rsid w:val="00C075A4"/>
    <w:rsid w:val="00C10F12"/>
    <w:rsid w:val="00C11826"/>
    <w:rsid w:val="00C23CD7"/>
    <w:rsid w:val="00C46D42"/>
    <w:rsid w:val="00C50C32"/>
    <w:rsid w:val="00C60178"/>
    <w:rsid w:val="00C61760"/>
    <w:rsid w:val="00C63CD6"/>
    <w:rsid w:val="00C6621D"/>
    <w:rsid w:val="00C72171"/>
    <w:rsid w:val="00C87D95"/>
    <w:rsid w:val="00C9077A"/>
    <w:rsid w:val="00C95CD2"/>
    <w:rsid w:val="00C96E20"/>
    <w:rsid w:val="00CA051B"/>
    <w:rsid w:val="00CA1F72"/>
    <w:rsid w:val="00CA3BE3"/>
    <w:rsid w:val="00CA5489"/>
    <w:rsid w:val="00CB345D"/>
    <w:rsid w:val="00CB3CBE"/>
    <w:rsid w:val="00CC218E"/>
    <w:rsid w:val="00CD0243"/>
    <w:rsid w:val="00CE0A2D"/>
    <w:rsid w:val="00CF03D8"/>
    <w:rsid w:val="00CF06B0"/>
    <w:rsid w:val="00D01362"/>
    <w:rsid w:val="00D015D5"/>
    <w:rsid w:val="00D03D68"/>
    <w:rsid w:val="00D054F6"/>
    <w:rsid w:val="00D266DD"/>
    <w:rsid w:val="00D32B04"/>
    <w:rsid w:val="00D338B2"/>
    <w:rsid w:val="00D36D2B"/>
    <w:rsid w:val="00D374E7"/>
    <w:rsid w:val="00D37DF4"/>
    <w:rsid w:val="00D40FF4"/>
    <w:rsid w:val="00D422A4"/>
    <w:rsid w:val="00D4610C"/>
    <w:rsid w:val="00D61E62"/>
    <w:rsid w:val="00D63949"/>
    <w:rsid w:val="00D652E7"/>
    <w:rsid w:val="00D77BCF"/>
    <w:rsid w:val="00D83044"/>
    <w:rsid w:val="00D84394"/>
    <w:rsid w:val="00D95E55"/>
    <w:rsid w:val="00DB3664"/>
    <w:rsid w:val="00DC16FB"/>
    <w:rsid w:val="00DC4A65"/>
    <w:rsid w:val="00DC4F66"/>
    <w:rsid w:val="00DD3D94"/>
    <w:rsid w:val="00DF1A70"/>
    <w:rsid w:val="00DF498A"/>
    <w:rsid w:val="00E100FD"/>
    <w:rsid w:val="00E10B44"/>
    <w:rsid w:val="00E11F02"/>
    <w:rsid w:val="00E147DC"/>
    <w:rsid w:val="00E27173"/>
    <w:rsid w:val="00E2726B"/>
    <w:rsid w:val="00E37801"/>
    <w:rsid w:val="00E46EAA"/>
    <w:rsid w:val="00E47FD0"/>
    <w:rsid w:val="00E5038C"/>
    <w:rsid w:val="00E50B69"/>
    <w:rsid w:val="00E51291"/>
    <w:rsid w:val="00E5298B"/>
    <w:rsid w:val="00E56EFB"/>
    <w:rsid w:val="00E6458F"/>
    <w:rsid w:val="00E7242D"/>
    <w:rsid w:val="00E80F2E"/>
    <w:rsid w:val="00E8383D"/>
    <w:rsid w:val="00E87E25"/>
    <w:rsid w:val="00E93CBB"/>
    <w:rsid w:val="00EA04F1"/>
    <w:rsid w:val="00EA27D2"/>
    <w:rsid w:val="00EA2FD3"/>
    <w:rsid w:val="00EA70B4"/>
    <w:rsid w:val="00EB7CE9"/>
    <w:rsid w:val="00EC433F"/>
    <w:rsid w:val="00ED1FDE"/>
    <w:rsid w:val="00ED3A4B"/>
    <w:rsid w:val="00ED3B3E"/>
    <w:rsid w:val="00EF2D69"/>
    <w:rsid w:val="00F06EFB"/>
    <w:rsid w:val="00F1529E"/>
    <w:rsid w:val="00F16F07"/>
    <w:rsid w:val="00F323B7"/>
    <w:rsid w:val="00F33EBC"/>
    <w:rsid w:val="00F34699"/>
    <w:rsid w:val="00F4528A"/>
    <w:rsid w:val="00F45877"/>
    <w:rsid w:val="00F45B7C"/>
    <w:rsid w:val="00F45FCE"/>
    <w:rsid w:val="00F52178"/>
    <w:rsid w:val="00F9334F"/>
    <w:rsid w:val="00F9768B"/>
    <w:rsid w:val="00F97D7F"/>
    <w:rsid w:val="00FA122C"/>
    <w:rsid w:val="00FA3B95"/>
    <w:rsid w:val="00FC1278"/>
    <w:rsid w:val="00FD49AA"/>
    <w:rsid w:val="00FD7EC9"/>
    <w:rsid w:val="00FE114C"/>
    <w:rsid w:val="00FE7735"/>
    <w:rsid w:val="00FF29F8"/>
    <w:rsid w:val="0BAC3FDB"/>
    <w:rsid w:val="4A69371F"/>
    <w:rsid w:val="5186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line number" w:semiHidden="0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eastAsia="Times New Roman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lin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msolistparagraph0">
    <w:name w:val="msolistparagraph"/>
    <w:pPr>
      <w:ind w:left="720"/>
      <w:contextualSpacing/>
    </w:pPr>
    <w:rPr>
      <w:rFonts w:ascii="TimesET" w:eastAsia="Times New Roman" w:hAnsi="TimesET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line number" w:semiHidden="0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eastAsia="Times New Roman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lin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msolistparagraph0">
    <w:name w:val="msolistparagraph"/>
    <w:pPr>
      <w:ind w:left="720"/>
      <w:contextualSpacing/>
    </w:pPr>
    <w:rPr>
      <w:rFonts w:ascii="TimesET" w:eastAsia="Times New Roman" w:hAnsi="TimesET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6813D-4BD2-435C-AA41-31B7E5E1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857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Пользователь</dc:creator>
  <cp:lastModifiedBy>Дягилева М.А.</cp:lastModifiedBy>
  <cp:revision>50</cp:revision>
  <cp:lastPrinted>2022-02-07T07:47:00Z</cp:lastPrinted>
  <dcterms:created xsi:type="dcterms:W3CDTF">2021-12-20T13:30:00Z</dcterms:created>
  <dcterms:modified xsi:type="dcterms:W3CDTF">2022-02-16T12:58:00Z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3B5724C5490B4B9585C34450ADFDEF78</vt:lpwstr>
  </property>
</Properties>
</file>