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ET" w:hAnsi="TimesET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ET" w:hAnsi="TimesET"/>
                <w:sz w:val="20"/>
                <w:szCs w:val="20"/>
                <w:lang w:eastAsia="ru-RU"/>
              </w:rPr>
            </w:r>
          </w:p>
        </w:tc>
        <w:tc>
          <w:tcPr>
            <w:tcW w:w="467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министерства образования и молодежной политики Рязанской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«14» февраля 2022 г. № 8</w:t>
            </w:r>
          </w:p>
          <w:p>
            <w:pPr>
              <w:pStyle w:val="Normal"/>
              <w:spacing w:lineRule="auto" w:line="240" w:before="0" w:after="0"/>
              <w:rPr>
                <w:rFonts w:ascii="TimesET" w:hAnsi="TimesET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ET" w:hAnsi="TimesET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eastAsia="Times New Roman" w:cs="Times New Roman"/>
          <w:b/>
          <w:b/>
          <w:bCs/>
          <w:i/>
          <w:i/>
          <w:color w:val="2E74B5" w:themeColor="accent1" w:themeShade="bf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color w:val="2E74B5" w:themeColor="accent1" w:themeShade="bf"/>
          <w:sz w:val="26"/>
          <w:szCs w:val="26"/>
          <w:lang w:eastAsia="ru-RU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3E12F3CA">
                <wp:simplePos x="0" y="0"/>
                <wp:positionH relativeFrom="column">
                  <wp:posOffset>2815590</wp:posOffset>
                </wp:positionH>
                <wp:positionV relativeFrom="paragraph">
                  <wp:posOffset>-1638300</wp:posOffset>
                </wp:positionV>
                <wp:extent cx="438785" cy="181610"/>
                <wp:effectExtent l="0" t="0" r="0" b="952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f" style="position:absolute;margin-left:221.7pt;margin-top:-129pt;width:34.45pt;height:14.2pt" wp14:anchorId="3E12F3CA">
                <w10:wrap type="none"/>
                <v:fill o:detectmouseclick="t" type="solid" color2="black"/>
                <v:stroke color="#3465a4" weight="12600" joinstyle="miter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ПОРЯДОК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проведения конкурсного отбора муниципальных образований</w:t>
      </w:r>
      <w:r>
        <w:rPr>
          <w:rFonts w:cs="Times New Roman" w:ascii="Times New Roman" w:hAnsi="Times New Roman"/>
          <w:sz w:val="28"/>
          <w:szCs w:val="28"/>
        </w:rPr>
        <w:t xml:space="preserve"> Рязанской области для предоставления субсидий на реализацию мероприятия, предусмотренного подпунктом 1.2.3.1 пункта 1.2.3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проверки условий предоставления таких субсидий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Настоящий Порядок разработан в целях обеспечения реализации мероприятия, предусмотренного подпунктом 1.2.3.1 пункта 1.2.3 </w:t>
      </w:r>
      <w:r>
        <w:rPr>
          <w:rFonts w:cs="Times New Roman" w:ascii="Times New Roman" w:hAnsi="Times New Roman"/>
          <w:sz w:val="28"/>
          <w:szCs w:val="28"/>
        </w:rPr>
        <w:t xml:space="preserve">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– мероприятие, Порядок, Подпрограмма), и проверки условий предоставления таких субсидий.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Конкурсный отбор муниципальных образований Рязанской области (далее – конкурсный отбор) осуществляется в целях предоставления субсидий бюджетам муниципальных образований Рязанской области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>
        <w:rPr>
          <w:rFonts w:eastAsia="Times New Roman" w:cs="Arial"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- субсидии).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 Организация конкурсного отбора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Состав Комиссии формируется из представителей министерства образования и молодежной политики Рязанской области и утверждается приказом министерства.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Работу Комиссии обеспечивает министерство образования и молодежной политики Рязанской области (далее – организатор).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рассматривает заявки муниципальных образований;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день получения заявки принимает решение о допуске (отказе в допуске) к участию в конкурсном отборе,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 необходимости дает разъяснения по вопросу проведения конкурсного отбора;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принимает решение по результатам конкурсного отбора.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Для организации и проведения конкурсного отбора организатор выполняет следующие функции: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размещает извещение о проведении конкурсного отбора;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обеспечивает прием, учет и хранение поступивших от участников документов;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доводит до сведения участников результаты конкурсного отбора.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3. Извещение о проведении конкурсного отбора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и представлении заявок на участие в конкурсном отборе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– извещение), организатор размещает на официальном сайте в информационно-телекоммуникационной сети «Интернет» по адресу: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minobr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ryazangov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Извещение о проведении конкурсного отбора должно содержать следующие сведения: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наименование и адрес организатора конкурсного отбора;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даты начала и окончания приема заявок на участие в конкурсном отборе;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3.3. Заявки подаются участниками нарочно в адрес организатора в соответствии со сроком, определенным в извещении. Срок приема заявок – 5 календарных дней со дня размещения извещения.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В состав представляемых муниципальными образованиями заявок входят: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3.4.1 сопроводительное письмо;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3.4.2 заявка о предоставлении субсидии на соответствующий финансовый год, по форме согласно приложению к настоящему Порядку 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бюджета, рассчитанного в соответствии с методическими рекомендациями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«Образование», утвержденными распоряжением Министерства просвещения Российской Федерации от 17.12.2019 № Р-136 (далее - методические рекомендации № Р-136);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3.4.3 выписка из решения о бюджете муниципального образования Рязанской области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3.4.4 копия утвержденной в установленном порядке муниципальной программы, направленной на достижение цели, соответствующей Подпрограмме, и предусматривающей мероприятия, соответствующие целям предоставления субсидий из областного бюджета;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3.4.5 гарантийное письмо об обязательстве муниципального образования Рязанской области по централизации закупок в соответствии с распоряжением Правительства Рязанской области от 29.12.2021 № 563-р, за исключением закупок: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3.4.6 информация, подтверждающая наличие </w:t>
      </w:r>
      <w:r>
        <w:rPr>
          <w:rFonts w:cs="Times New Roman" w:ascii="Times New Roman" w:hAnsi="Times New Roman"/>
          <w:sz w:val="28"/>
          <w:szCs w:val="28"/>
        </w:rPr>
        <w:t>в организациях дополнительного образования, расположенных на территории Рязанской области, помещений, подготовленных для оснащения средствами обучения и воспитания, комплектуемыми в соответствии с методическими рекомендациями № Р-136;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3.4.7 информация о наличии потребности муниципального образования Рязанской области в создании новых мест в муниципальных образовательных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организациях различных типов для реализации дополнительных общеразвивающих программ всех направленностей;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3.4.8 информация о количестве обучающихся в муниципальных общеобразовательных организациях, расположенных на территории муниципального образования Рязанской области по данным федерального статистического наблюдения на 20 сентября предыдущего финансового года;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3.4.9 информация об охвате детей от 5 до 18 лет, проживающих на территории муниципального образования Рязанской области, дополнительными общеразвивающими программами по данным федерального статистического наблюдения на 20 сентября предыдущего финансового года.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 Конкурсный отбор заявок и определение получателей субсидий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r:id="rId2">
        <w:r>
          <w:rPr>
            <w:rStyle w:val="Style16"/>
            <w:rFonts w:cs="Times New Roman" w:ascii="Times New Roman" w:hAnsi="Times New Roman"/>
            <w:sz w:val="28"/>
            <w:szCs w:val="28"/>
          </w:rPr>
          <w:t>п. 3.4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на участие в конкурсном отборе не отвечает условиям для участия муниципальных образований Рязанской области в реализации Подпрограммы, определенным в пункте 2 Порядка предоставления и распределения субсидий из областного бюджета местным бюджетам Подпрограммы;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пунктах 3, 4, 5 Порядка предоставления и распределения субсидий из областного бюджета местным бюджетам подпункта 6.3 пункта 6 Подпрограммы.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4.5. Комиссия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3">
        <w:r>
          <w:rPr>
            <w:rStyle w:val="Style16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 критерием: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8358"/>
        <w:gridCol w:w="992"/>
      </w:tblGrid>
      <w:tr>
        <w:trPr/>
        <w:tc>
          <w:tcPr>
            <w:tcW w:w="8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Баллы</w:t>
            </w:r>
          </w:p>
        </w:tc>
      </w:tr>
      <w:tr>
        <w:trPr/>
        <w:tc>
          <w:tcPr>
            <w:tcW w:w="8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Наличие потребности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 Рязанской области в создании новых мест в муниципальных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1/0</w:t>
            </w:r>
          </w:p>
        </w:tc>
      </w:tr>
      <w:tr>
        <w:trPr/>
        <w:tc>
          <w:tcPr>
            <w:tcW w:w="8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обучающихся в муниципальных общеобразовательных организациях, расположенных на территории муниципального образования Рязанской области по данным федерального статистического наблюдения на 20 сентября предыдущего финансового года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1/0*</w:t>
            </w:r>
          </w:p>
        </w:tc>
      </w:tr>
      <w:tr>
        <w:trPr/>
        <w:tc>
          <w:tcPr>
            <w:tcW w:w="8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cs="Calibri" w:ascii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cs="Calibri" w:ascii="Times New Roman" w:hAnsi="Times New Roman"/>
                <w:sz w:val="28"/>
                <w:szCs w:val="28"/>
              </w:rPr>
              <w:t>хват детей от 5 до 18 лет, проживающих на территории муниципального образования Рязанской области, дополнительными общеразвивающими программами по данным федерального статистического наблюдения на 20 сентября предыдущего финансового года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1/0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*1-500 и более человек, 0-менее 500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номер, в случае равенства баллов меньший порядковый номер присваивается заявке, поданной раньше.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4.5.2. После оценки документов на соответствие критериям конкурсного отбора Комиссия формирует перечень муниципальных образований Рязанской области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4.5.3. Расчет проекта распределения объемов субсидий по муниципальным образованиям Рязанской области осуществляется в соответствии с подпунктом 5.1 пункта 5 Порядка предоставления и распределения субсидий из областного бюджета местным бюджетам Подпрограммы.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4.5.4. Получателями субсидии признаются первые n участников по мере возрастания порядкового номера заявок, для которых выполняется условие: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9525" distL="0" distR="0">
            <wp:extent cx="1028700" cy="600075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Sсуб - общий объем субсидий, предусмотренный Подпрограммой;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Si - объем расходов согласно расчету, содержащемуся в i-й заявке;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 - порядковый номер участников отбора.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5. Проверка условия, указанного в абзаце третьем подпункта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пункта 4 Постановления № 377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5">
        <w:r>
          <w:rPr>
            <w:rStyle w:val="Style16"/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377, осуществляется организатором.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 и до предоставления субсидии.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tbl>
      <w:tblPr>
        <w:tblStyle w:val="a5"/>
        <w:tblW w:w="94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6"/>
        <w:gridCol w:w="6521"/>
      </w:tblGrid>
      <w:tr>
        <w:trPr>
          <w:trHeight w:val="4034" w:hRule="atLeas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Приложение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 Порядку проведения конкурсного отбора муниципальных образований Рязанской области для предоставления субсидий на реализацию мероприятия, предусмотренного подпунктом 1.2.3.1 пункта 1.2.3 таблицы пункта 5 «Перечень мероприятий Подпрограммы» № 3 «Развитие дополнительного образования детей» государственной программы Рязанской области «Развитие образования и молодежной политики» и проверки условий предоставления таких субсидий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предоставлении на 20___ финансовый год муниципальному образованию -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____________________субсидии на реализацию мероприятия, предусмотренного подпунктом 1.2.3.1 пункта 1.2.3 таблицы пункта 5 «Перечень мероприятий Подпрограммы» № 3 «Развитие дополнительного образования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Администрация муниципального образования -__________(наименование муниципального образования Рязанской области) просит предоставить субсидию на реализацию мероприятия, предусмотренного подпунктом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1.2.3.1 пункта 1.2.3 </w:t>
      </w:r>
      <w:r>
        <w:rPr>
          <w:rFonts w:cs="Times New Roman" w:ascii="Times New Roman" w:hAnsi="Times New Roman"/>
          <w:sz w:val="28"/>
          <w:szCs w:val="28"/>
        </w:rPr>
        <w:t>таблицы пункта 5 «Перечень мероприятий Подпрограммы» № 3 «Развитие дополнительного образования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344.</w:t>
      </w:r>
    </w:p>
    <w:p>
      <w:pPr>
        <w:pStyle w:val="Normal"/>
        <w:spacing w:lineRule="auto" w:line="240" w:before="0" w:after="0"/>
        <w:jc w:val="both"/>
        <w:rPr>
          <w:rFonts w:ascii="TimesET" w:hAnsi="TimesET" w:cs="Times New Roman"/>
          <w:sz w:val="28"/>
          <w:szCs w:val="28"/>
        </w:rPr>
      </w:pPr>
      <w:r>
        <w:rPr>
          <w:rFonts w:cs="Times New Roman" w:ascii="TimesET" w:hAnsi="TimesET"/>
          <w:sz w:val="28"/>
          <w:szCs w:val="28"/>
        </w:rPr>
        <w:tab/>
        <w:t>Общий объем расходного обязательства муниципального образования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-_________________(наименование муниципального образования Рязанской области) на реализацию данного мероприятия </w:t>
      </w:r>
      <w:r>
        <w:rPr>
          <w:rFonts w:cs="Times New Roman" w:ascii="Times New Roman" w:hAnsi="Times New Roman"/>
          <w:sz w:val="24"/>
          <w:szCs w:val="24"/>
        </w:rPr>
        <w:t>-_____________________________________________________________________________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(общая сумма цифрами и прописью)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рублей, в том числе за счет бюджета муниципального образования -________________________________________________________рублей.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</w:rPr>
        <w:t>сумма цифрами и прописью)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_____________ /____________________/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(расшифровка подписи)</w:t>
      </w:r>
    </w:p>
    <w:p>
      <w:pPr>
        <w:pStyle w:val="Normal"/>
        <w:numPr>
          <w:ilvl w:val="0"/>
          <w:numId w:val="0"/>
        </w:numPr>
        <w:spacing w:lineRule="auto" w:line="288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Normal"/>
        <w:numPr>
          <w:ilvl w:val="0"/>
          <w:numId w:val="0"/>
        </w:numPr>
        <w:spacing w:lineRule="auto" w:line="288" w:before="0" w:after="0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Дата_____________________</w:t>
      </w:r>
    </w:p>
    <w:sectPr>
      <w:headerReference w:type="default" r:id="rId6"/>
      <w:type w:val="nextPage"/>
      <w:pgSz w:w="11906" w:h="16838"/>
      <w:pgMar w:left="1701" w:right="851" w:header="709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E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c36f10"/>
    <w:pPr>
      <w:keepNext/>
      <w:spacing w:lineRule="auto" w:line="288" w:before="0" w:after="0"/>
      <w:jc w:val="center"/>
      <w:outlineLvl w:val="0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0c2918"/>
    <w:rPr>
      <w:b/>
      <w:bCs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c01875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c83a8a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c83a8a"/>
    <w:rPr/>
  </w:style>
  <w:style w:type="character" w:styleId="11" w:customStyle="1">
    <w:name w:val="Заголовок 1 Знак"/>
    <w:basedOn w:val="DefaultParagraphFont"/>
    <w:link w:val="1"/>
    <w:qFormat/>
    <w:rsid w:val="00c36f1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16">
    <w:name w:val="Интернет-ссылка"/>
    <w:basedOn w:val="DefaultParagraphFont"/>
    <w:uiPriority w:val="99"/>
    <w:semiHidden/>
    <w:unhideWhenUsed/>
    <w:rsid w:val="00c36f10"/>
    <w:rPr>
      <w:color w:val="0000FF"/>
      <w:u w:val="single"/>
    </w:rPr>
  </w:style>
  <w:style w:type="character" w:styleId="ConsPlusNormal" w:customStyle="1">
    <w:name w:val="ConsPlusNormal Знак"/>
    <w:link w:val="ConsPlusNormal"/>
    <w:qFormat/>
    <w:locked/>
    <w:rsid w:val="00c36f10"/>
    <w:rPr>
      <w:rFonts w:ascii="Arial" w:hAnsi="Arial" w:eastAsia="Times New Roman" w:cs="Arial"/>
      <w:sz w:val="20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semiHidden/>
    <w:unhideWhenUsed/>
    <w:qFormat/>
    <w:rsid w:val="000c2918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ConsPlusNormal1" w:customStyle="1">
    <w:name w:val="ConsPlusNormal"/>
    <w:link w:val="ConsPlusNormal0"/>
    <w:qFormat/>
    <w:rsid w:val="000c2918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0c2918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c018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Header"/>
    <w:basedOn w:val="Normal"/>
    <w:link w:val="a9"/>
    <w:uiPriority w:val="99"/>
    <w:unhideWhenUsed/>
    <w:rsid w:val="00c83a8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b"/>
    <w:uiPriority w:val="99"/>
    <w:unhideWhenUsed/>
    <w:rsid w:val="00c83a8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b405f"/>
    <w:pPr>
      <w:spacing w:before="0" w:after="160"/>
      <w:ind w:left="720" w:hanging="0"/>
      <w:contextualSpacing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c36f1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43FBF4496A99A143F57F7B8E7AE1F8C8444CABAA8CDC83D1ED73816935BCF354505D5328EF15F502C68465129022AEA2D5C680C0DBCBE2A6110E600w5i4N" TargetMode="External"/><Relationship Id="rId3" Type="http://schemas.openxmlformats.org/officeDocument/2006/relationships/hyperlink" Target="consultantplus://offline/ref=443FBF4496A99A143F57F7B8E7AE1F8C8444CABAA8CFC93F1CDB3816935BCF354505D5328EF15F502C6846512C022AEA2D5C680C0DBCBE2A6110E600w5i4N" TargetMode="External"/><Relationship Id="rId4" Type="http://schemas.openxmlformats.org/officeDocument/2006/relationships/image" Target="media/image1.wmf"/><Relationship Id="rId5" Type="http://schemas.openxmlformats.org/officeDocument/2006/relationships/hyperlink" Target="consultantplus://offline/ref=07617980D39A28BD52B91838C64139CBC092B29B9A87D4D349D0A4187B3FEA71C89B23A8B91007E68D7C859DB189CE5164C0CB783F50FF9314D861C334kDN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58EE6-9A0F-48BF-B425-329ADA0E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LibreOffice/5.1.2.2$Windows_X86_64 LibreOffice_project/d3bf12ecb743fc0d20e0be0c58ca359301eb705f</Application>
  <Pages>9</Pages>
  <Words>1858</Words>
  <Characters>14179</Characters>
  <CharactersWithSpaces>16042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2022-02-11T06:35:00Z</dcterms:created>
  <dc:creator>Пользователь</dc:creator>
  <dc:description/>
  <dc:language>ru-RU</dc:language>
  <cp:lastModifiedBy/>
  <cp:lastPrinted>2022-02-11T07:45:00Z</cp:lastPrinted>
  <dcterms:modified xsi:type="dcterms:W3CDTF">2022-02-14T15:39:06Z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