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u w:val="none"/>
          <w:shd w:fill="FFFFFF" w:val="clear"/>
          <w:lang w:val="ru-RU" w:eastAsia="zh-CN" w:bidi="ar-SA"/>
        </w:rPr>
        <w:t>15.03.2022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117-п</w:t>
      </w:r>
      <w:r>
        <w:rPr>
          <w:rFonts w:cs="Times New Roman"/>
          <w:b/>
          <w:bCs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62:08:0032301:89 по адресу: Рязанская область,</w:t>
        <w:br/>
        <w:t>Михайловский р-н, п. центрального отделения совхоза «Мишино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Чебаневич Владимира Алексеевича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Михайловский район, д. Слободка, д. 24-а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: Рязанская область, Михайловский район, д. Слободка, д. 24-а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249.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249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2022 г.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2022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2022 г. по 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2022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954</TotalTime>
  <Application>LibreOffice/6.4.4.2$Linux_X86_64 LibreOffice_project/40$Build-2</Application>
  <Pages>2</Pages>
  <Words>655</Words>
  <Characters>4999</Characters>
  <CharactersWithSpaces>5771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2022-03-15T12:02:00Z</cp:lastPrinted>
  <dcterms:modified xsi:type="dcterms:W3CDTF">2022-03-15T12:02:18Z</dcterms:modified>
  <cp:revision>127</cp:revision>
  <dc:subject/>
  <dc:title/>
</cp:coreProperties>
</file>