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b w:val="false"/>
          <w:sz w:val="26"/>
          <w:szCs w:val="26"/>
        </w:rPr>
        <w:t xml:space="preserve">От </w:t>
      </w:r>
      <w:r>
        <w:rPr>
          <w:rFonts w:cs="Times New Roman"/>
          <w:b w:val="false"/>
          <w:sz w:val="26"/>
          <w:szCs w:val="26"/>
          <w:u w:val="single"/>
        </w:rPr>
        <w:t xml:space="preserve">      </w:t>
      </w:r>
      <w:r>
        <w:rPr>
          <w:rFonts w:cs="Times New Roman"/>
          <w:b w:val="false"/>
          <w:sz w:val="26"/>
          <w:szCs w:val="26"/>
          <w:u w:val="single"/>
        </w:rPr>
        <w:t xml:space="preserve">21.04.2022   </w:t>
      </w:r>
      <w:r>
        <w:rPr>
          <w:rFonts w:cs="Times New Roman"/>
          <w:b w:val="false"/>
          <w:sz w:val="26"/>
          <w:szCs w:val="26"/>
          <w:u w:val="single"/>
        </w:rPr>
        <w:t xml:space="preserve">    </w:t>
      </w:r>
      <w:r>
        <w:rPr>
          <w:rFonts w:cs="Times New Roman"/>
          <w:b w:val="false"/>
          <w:sz w:val="26"/>
          <w:szCs w:val="26"/>
        </w:rPr>
        <w:t xml:space="preserve"> № </w:t>
      </w:r>
      <w:r>
        <w:rPr>
          <w:rFonts w:cs="Times New Roman"/>
          <w:b w:val="false"/>
          <w:sz w:val="26"/>
          <w:szCs w:val="26"/>
          <w:u w:val="single"/>
        </w:rPr>
        <w:t xml:space="preserve">    </w:t>
      </w:r>
      <w:r>
        <w:rPr>
          <w:rFonts w:cs="Times New Roman"/>
          <w:b w:val="false"/>
          <w:sz w:val="26"/>
          <w:szCs w:val="26"/>
          <w:u w:val="single"/>
        </w:rPr>
        <w:t xml:space="preserve">307-р </w:t>
      </w:r>
      <w:r>
        <w:rPr>
          <w:rFonts w:cs="Times New Roman"/>
          <w:b w:val="false"/>
          <w:sz w:val="26"/>
          <w:szCs w:val="26"/>
          <w:u w:val="single"/>
        </w:rPr>
        <w:t xml:space="preserve">   </w:t>
      </w:r>
      <w:r>
        <w:rPr>
          <w:rFonts w:cs="Times New Roman"/>
          <w:b w:val="false"/>
          <w:color w:val="FFFFFF"/>
          <w:sz w:val="26"/>
          <w:szCs w:val="26"/>
          <w:u w:val="single"/>
        </w:rPr>
        <w:t>-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2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377533,07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1335875,97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377529,92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1335884,69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377463,27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1335883,48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377429,76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1335884,17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377406,83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1335882,64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377406,10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1335890,27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377384,79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1335888,23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377386,78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1335867,53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377408,09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1335869,57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377407,31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1335877,66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377429,88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1335879,17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377463,27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1335878,48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377526,43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1335879,62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377528,37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1335874,27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377533,07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1335875,97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518656276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LibreOffice/7.1.7.2$Windows_X86_64 LibreOffice_project/c6a4e3954236145e2acb0b65f68614365aeee33f</Application>
  <AppVersion>15.0000</AppVersion>
  <Pages>2</Pages>
  <Words>188</Words>
  <Characters>1449</Characters>
  <CharactersWithSpaces>1897</CharactersWithSpaces>
  <Paragraphs>83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2021-08-04T07:19:00Z</cp:lastPrinted>
  <dcterms:modified xsi:type="dcterms:W3CDTF">2022-04-22T10:36:02Z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