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rPr>
          <w:rFonts w:eastAsia="Times New Roman" w:cs="Times New Roman"/>
          <w:bCs/>
          <w:spacing w:val="12"/>
          <w:sz w:val="40"/>
        </w:rPr>
      </w:pPr>
      <w:r>
        <w:rPr>
          <w:rFonts w:eastAsia="Times New Roman" w:cs="Times New Roman"/>
          <w:bCs/>
          <w:spacing w:val="12"/>
          <w:sz w:val="40"/>
        </w:rPr>
      </w:r>
    </w:p>
    <w:p>
      <w:pPr>
        <w:pStyle w:val="Normal"/>
        <w:tabs>
          <w:tab w:val="clear" w:pos="720"/>
          <w:tab w:val="left" w:pos="708" w:leader="none"/>
          <w:tab w:val="left" w:pos="8091" w:leader="none"/>
        </w:tabs>
        <w:ind w:left="0" w:right="170" w:hanging="0"/>
        <w:jc w:val="center"/>
        <w:rPr/>
      </w:pPr>
      <w:r>
        <w:rPr>
          <w:rFonts w:eastAsia="Times New Roman CYR" w:cs="Times New Roman CYR" w:ascii="Times New Roman CYR" w:hAnsi="Times New Roman CYR"/>
          <w:color w:val="000000"/>
          <w:sz w:val="24"/>
          <w:szCs w:val="24"/>
        </w:rPr>
        <w:t xml:space="preserve"> </w:t>
      </w:r>
      <w:r>
        <w:rPr>
          <w:rFonts w:eastAsia="Times New Roman CYR" w:cs="Times New Roman CYR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 CYR" w:cs="Times New Roman CYR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 CYR" w:ascii="Times New Roman" w:hAnsi="Times New Roman"/>
          <w:color w:val="000000"/>
          <w:sz w:val="28"/>
          <w:szCs w:val="28"/>
        </w:rPr>
        <w:t>__________________№___________</w:t>
      </w:r>
    </w:p>
    <w:p>
      <w:pPr>
        <w:pStyle w:val="Normal"/>
        <w:tabs>
          <w:tab w:val="clear" w:pos="720"/>
          <w:tab w:val="left" w:pos="708" w:leader="none"/>
          <w:tab w:val="left" w:pos="8091" w:leader="none"/>
        </w:tabs>
        <w:ind w:left="0" w:right="170" w:hanging="0"/>
        <w:jc w:val="center"/>
        <w:rPr>
          <w:rFonts w:ascii="Times New Roman" w:hAnsi="Times New Roman" w:cs="Times New Roman CYR"/>
          <w:color w:val="000000"/>
          <w:sz w:val="28"/>
          <w:szCs w:val="28"/>
        </w:rPr>
      </w:pPr>
      <w:r>
        <w:rPr>
          <w:rFonts w:cs="Times New Roman CYR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708" w:leader="none"/>
          <w:tab w:val="left" w:pos="8091" w:leader="none"/>
        </w:tabs>
        <w:ind w:left="0" w:right="170" w:hanging="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  <w:tab w:val="left" w:pos="8091" w:leader="none"/>
        </w:tabs>
        <w:ind w:left="0" w:right="170" w:hanging="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  <w:tab w:val="left" w:pos="8091" w:leader="none"/>
        </w:tabs>
        <w:ind w:left="0" w:right="170" w:hang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О внесении изменений в постановление министерства имущественных и земельных отношений Рязанской области от 28.11.2019 № 40-П «Об утверждении 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П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оложения об оплате труда  руководителей, их заместителей и главных бухгалтеров государственных казенных учреждений Рязанской области и государственных бюджетных учреждений Рязанской области, подведомственных министерству имущественных и земельных отношений Рязанской области»</w:t>
      </w:r>
    </w:p>
    <w:p>
      <w:pPr>
        <w:pStyle w:val="Normal"/>
        <w:tabs>
          <w:tab w:val="clear" w:pos="720"/>
          <w:tab w:val="left" w:pos="-60" w:leader="none"/>
          <w:tab w:val="left" w:pos="8091" w:leader="none"/>
        </w:tabs>
        <w:ind w:left="0" w:right="113" w:hang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(в редакции постановления Минимущества Рязанской области</w:t>
      </w:r>
    </w:p>
    <w:p>
      <w:pPr>
        <w:pStyle w:val="Normal"/>
        <w:tabs>
          <w:tab w:val="clear" w:pos="720"/>
          <w:tab w:val="left" w:pos="-60" w:leader="none"/>
          <w:tab w:val="left" w:pos="8091" w:leader="none"/>
        </w:tabs>
        <w:ind w:left="0" w:right="113" w:hang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от 04.02.2020 № 5-П)</w:t>
      </w:r>
    </w:p>
    <w:p>
      <w:pPr>
        <w:pStyle w:val="Normal"/>
        <w:tabs>
          <w:tab w:val="clear" w:pos="720"/>
          <w:tab w:val="left" w:pos="-60" w:leader="none"/>
          <w:tab w:val="left" w:pos="8091" w:leader="none"/>
        </w:tabs>
        <w:ind w:left="0" w:right="113" w:hang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-60" w:leader="none"/>
          <w:tab w:val="left" w:pos="8091" w:leader="none"/>
        </w:tabs>
        <w:ind w:left="0" w:right="113" w:hang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spacing w:before="567" w:after="0"/>
        <w:ind w:left="0" w:right="113" w:firstLine="851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Министерство имущественных и земельных отношений Рязанской  области ПОСТАНОВЛЯЕТ: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Внести в приложение к постановлению министерства имущественных и земельных отношений Рязанской области от 28.11.2019 № 40-П «Об утверждении  </w:t>
      </w:r>
      <w:r>
        <w:rPr>
          <w:color w:val="000000"/>
          <w:sz w:val="28"/>
          <w:szCs w:val="28"/>
          <w:highlight w:val="white"/>
        </w:rPr>
        <w:t>П</w:t>
      </w:r>
      <w:r>
        <w:rPr>
          <w:color w:val="000000"/>
          <w:sz w:val="28"/>
          <w:szCs w:val="28"/>
          <w:highlight w:val="white"/>
        </w:rPr>
        <w:t>оложения об оплате труда руководителей, их заместителей и главных бухгалтеров государственных казенных учреждений Рязанской области и государственных бюджетных учреждений Рязанской области, подведомственных министерству имущественных и земельных отношений Рязанской области» следующие изменения:</w:t>
      </w:r>
    </w:p>
    <w:p>
      <w:pPr>
        <w:pStyle w:val="Normal"/>
        <w:tabs>
          <w:tab w:val="clear" w:pos="720"/>
          <w:tab w:val="left" w:pos="563" w:leader="none"/>
        </w:tabs>
        <w:ind w:left="0" w:right="113" w:firstLine="851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пункт 2.10. изложить в следующей редакции: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 xml:space="preserve">«2.10. Выплата за интенсивность и высокие результаты работы устанавливается руководителю учреждения Минимуществом Рязанской области на квартал при условии выполнения показателей, указанных в </w:t>
      </w:r>
      <w:hyperlink r:id="rId2">
        <w:r>
          <w:rPr>
            <w:color w:val="000000"/>
            <w:sz w:val="28"/>
            <w:szCs w:val="28"/>
            <w:u w:val="none"/>
          </w:rPr>
          <w:t>приложении № 2</w:t>
        </w:r>
      </w:hyperlink>
      <w:r>
        <w:rPr>
          <w:sz w:val="28"/>
          <w:szCs w:val="28"/>
        </w:rPr>
        <w:t xml:space="preserve"> к настоящему Положению.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Оценку выполнения показателей для установления выплаты за интенсивность и высокие результаты работы руководителю учреждения осуществляет комиссия по установлению стимулирующих выплат. Порядок деятельности указанной комиссии определяется правовым актом министерства имущественных и земельных отношений Рязанской области.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hyperlink r:id="rId3">
        <w:r>
          <w:rPr>
            <w:color w:val="000000"/>
            <w:sz w:val="28"/>
            <w:szCs w:val="28"/>
            <w:highlight w:val="white"/>
            <w:u w:val="none"/>
          </w:rPr>
          <w:t>При невыполнении одного из показателей размер стимулирующей выплаты за интенсивность и высокие результаты работы снижается на процент, указанный в приложении № 2 к настоящему Положению, по каждому пункту.</w:t>
        </w:r>
      </w:hyperlink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результаты работы устанавливаются заместителям руководителя и главному бухгалтеру учреждения с учетом количественных и качественных критериев и показателей работы, утверждаемых учреждением.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показателей для установления выплаты за интенсивность и высокие результаты работы заместителю руководителя и главному бухгалтеру учреждения осуществляется в порядке, определяемом руководителем учреждения.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за интенсивность и высокие результаты работы устанавливается: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- руководителю бюджетного учреждения в сфере государственной  кадастровой оценки – 122 процента;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руководителю казенного учреждения в сфере закупок – 130 процентов;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- руководителю казенного учреждения в сфере содержания зданий и помещений, занимаемых ЦИОГВ – 107 процентов;</w:t>
      </w:r>
    </w:p>
    <w:p>
      <w:pPr>
        <w:pStyle w:val="Normal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- заместителю руководителя, главному бухгалтеру учреждения – в размере, установленном руководителем учреждения, но не более 130 процентов.»;</w:t>
      </w:r>
    </w:p>
    <w:p>
      <w:pPr>
        <w:pStyle w:val="Normal"/>
        <w:ind w:left="0" w:right="0" w:firstLine="851"/>
        <w:jc w:val="both"/>
        <w:rPr/>
      </w:pPr>
      <w:r>
        <w:rPr>
          <w:color w:val="000000"/>
          <w:sz w:val="28"/>
          <w:szCs w:val="28"/>
          <w:highlight w:val="white"/>
        </w:rPr>
        <w:t xml:space="preserve">2) приложение № 2 к </w:t>
      </w:r>
      <w:r>
        <w:rPr>
          <w:sz w:val="28"/>
          <w:szCs w:val="28"/>
        </w:rPr>
        <w:t xml:space="preserve">Положению об оплате труда руководителей, их заместителей и главных бухгалтеров государственных казенных учреждений Рязанской области государственных бюджетных учреждений Рязанской области, подведомственных министерству имущественных и земельных отношений Рязанской области </w:t>
      </w:r>
      <w:r>
        <w:rPr>
          <w:color w:val="000000"/>
          <w:sz w:val="28"/>
          <w:szCs w:val="28"/>
          <w:highlight w:val="white"/>
        </w:rPr>
        <w:t>изложить в редакции согласно приложению  к  настоящему постановлению.</w:t>
      </w:r>
    </w:p>
    <w:p>
      <w:pPr>
        <w:pStyle w:val="Normal"/>
        <w:tabs>
          <w:tab w:val="clear" w:pos="720"/>
          <w:tab w:val="left" w:pos="10200" w:leader="none"/>
        </w:tabs>
        <w:ind w:left="0" w:right="0" w:firstLine="851"/>
        <w:jc w:val="both"/>
        <w:rPr/>
      </w:pPr>
      <w:r>
        <w:rPr>
          <w:color w:val="000000"/>
          <w:sz w:val="28"/>
          <w:szCs w:val="28"/>
          <w:highlight w:val="white"/>
        </w:rPr>
        <w:t>2.</w:t>
      </w:r>
      <w:r>
        <w:rPr>
          <w:color w:val="000000"/>
          <w:sz w:val="28"/>
          <w:szCs w:val="28"/>
        </w:rPr>
        <w:t> Установить, что д</w:t>
      </w:r>
      <w:r>
        <w:rPr>
          <w:color w:val="000000"/>
          <w:sz w:val="28"/>
          <w:szCs w:val="28"/>
          <w:highlight w:val="white"/>
        </w:rPr>
        <w:t xml:space="preserve">ействие настоящего постановления распространяется на правоотношения, возникшие 01 апреля 2022 г. </w:t>
      </w:r>
    </w:p>
    <w:p>
      <w:pPr>
        <w:pStyle w:val="Normal"/>
        <w:tabs>
          <w:tab w:val="clear" w:pos="720"/>
          <w:tab w:val="left" w:pos="10200" w:leader="none"/>
        </w:tabs>
        <w:ind w:left="0" w:right="0" w:firstLine="851"/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ind w:left="0" w:right="0" w:firstLine="851"/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ind w:left="0" w:right="0" w:firstLine="851"/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Министр                                                                                                    М.А. Майоров</w:t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0200" w:leader="none"/>
        </w:tabs>
        <w:jc w:val="both"/>
        <w:rPr/>
      </w:pPr>
      <w:r>
        <w:rPr/>
      </w:r>
    </w:p>
    <w:p>
      <w:pPr>
        <w:pStyle w:val="Normal"/>
        <w:suppressAutoHyphens w:val="true"/>
        <w:ind w:left="5103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Минимущества Рязанской области</w:t>
      </w:r>
    </w:p>
    <w:p>
      <w:pPr>
        <w:pStyle w:val="Normal"/>
        <w:suppressAutoHyphens w:val="true"/>
        <w:ind w:left="5103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от________________№ _________</w:t>
      </w:r>
    </w:p>
    <w:p>
      <w:pPr>
        <w:pStyle w:val="Normal"/>
        <w:suppressAutoHyphens w:val="true"/>
        <w:ind w:left="510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left="510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left="5103" w:right="0" w:hanging="0"/>
        <w:jc w:val="left"/>
        <w:rPr/>
      </w:pPr>
      <w:r>
        <w:rPr>
          <w:sz w:val="28"/>
          <w:szCs w:val="28"/>
        </w:rPr>
        <w:t>«</w:t>
      </w:r>
      <w:hyperlink r:id="rId4">
        <w:r>
          <w:rPr>
            <w:color w:val="000000"/>
            <w:sz w:val="28"/>
            <w:szCs w:val="28"/>
            <w:u w:val="none"/>
          </w:rPr>
          <w:t xml:space="preserve">Приложение </w:t>
        </w:r>
      </w:hyperlink>
      <w:r>
        <w:rPr>
          <w:sz w:val="28"/>
          <w:szCs w:val="28"/>
        </w:rPr>
        <w:t>№ 2</w:t>
      </w:r>
    </w:p>
    <w:p>
      <w:pPr>
        <w:pStyle w:val="Normal"/>
        <w:suppressAutoHyphens w:val="true"/>
        <w:ind w:left="5103" w:right="0" w:hanging="0"/>
        <w:jc w:val="left"/>
        <w:rPr>
          <w:rFonts w:eastAsia="NSimSun"/>
          <w:sz w:val="28"/>
          <w:szCs w:val="28"/>
        </w:rPr>
      </w:pPr>
      <w:r>
        <w:rPr>
          <w:rFonts w:eastAsia="NSimSun"/>
          <w:sz w:val="28"/>
          <w:szCs w:val="28"/>
        </w:rPr>
        <w:t>к Положению об оплате труда руководителей, их заместителей и главных бухгалтеров государственных казенных учреждений Рязанской области и государственных бюджетных учреждений Рязанской области, подведомственных министерству имущественных и земельных отношений Рязанской области от 28 ноября 2019 г. № 40-П</w:t>
      </w:r>
    </w:p>
    <w:p>
      <w:pPr>
        <w:pStyle w:val="Normal"/>
        <w:suppressAutoHyphens w:val="true"/>
        <w:ind w:left="510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sz w:val="28"/>
          <w:szCs w:val="28"/>
        </w:rPr>
      </w:pPr>
      <w:hyperlink r:id="rId5">
        <w:r>
          <w:rPr>
            <w:color w:val="000000"/>
            <w:sz w:val="28"/>
            <w:szCs w:val="28"/>
            <w:u w:val="none"/>
          </w:rPr>
          <w:t>Перечень</w:t>
        </w:r>
      </w:hyperlink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для установления стимулирующей выплаты за интенсивность и высокие результаты работы руководителям учреждений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89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880"/>
        <w:gridCol w:w="1699"/>
        <w:gridCol w:w="1561"/>
        <w:gridCol w:w="1425"/>
        <w:gridCol w:w="1698"/>
        <w:gridCol w:w="1701"/>
      </w:tblGrid>
      <w:tr>
        <w:trPr>
          <w:trHeight w:val="113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kern w:val="0"/>
                <w:sz w:val="24"/>
                <w:szCs w:val="24"/>
                <w:lang w:val="ru-RU" w:eastAsia="zh-CN"/>
              </w:rPr>
              <w:t xml:space="preserve">№ </w:t>
            </w:r>
            <w:r>
              <w:rPr>
                <w:kern w:val="0"/>
                <w:sz w:val="24"/>
                <w:szCs w:val="24"/>
                <w:lang w:val="ru-RU" w:eastAsia="zh-CN"/>
              </w:rPr>
              <w:t>п/п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Показатель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Критерий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Оценка (проценты)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Периодичность представления отчетности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10" w:hanging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Бюджетное учреждение в сфере государственной кадастровой оценки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09" w:hanging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Казенное учреждение в сфере закупок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Казенное учреждение в сфере содержания зданий и помещений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960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Качественная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1006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Успешное и добросовестное исполнение своих обязанностей в соответствующем периоде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498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Достижение высоких результатов в работе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2334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Своевременно и в полном объеме выполнение поручений министерства имущественных и земельных отношений Рязанской области, в том числе руководителей структурных подразделений,курирующих деятельность учреждений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-108" w:right="0" w:hanging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902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Своевременное представление бухгалтерской и статистической отчетности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-108" w:right="0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</w:r>
          </w:p>
        </w:tc>
      </w:tr>
      <w:tr>
        <w:trPr>
          <w:trHeight w:val="657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Microsoft YaHei"/>
                <w:kern w:val="0"/>
                <w:sz w:val="24"/>
                <w:szCs w:val="24"/>
                <w:lang w:val="ru-RU" w:eastAsia="zh-CN"/>
              </w:rPr>
              <w:t>Обеспечение условий охраны труда и техники безопасности в учреждении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20,33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21,66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17,83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  <w:t>Ежеквартально»</w:t>
            </w:r>
          </w:p>
        </w:tc>
      </w:tr>
      <w:tr>
        <w:trPr>
          <w:trHeight w:val="112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невыполнение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eastAsia="NSimSu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eastAsia="NSimSun"/>
                <w:kern w:val="0"/>
                <w:sz w:val="24"/>
                <w:szCs w:val="24"/>
                <w:lang w:val="ru-RU"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10200" w:leader="none"/>
        </w:tabs>
        <w:ind w:left="0" w:right="0" w:firstLine="540"/>
        <w:jc w:val="both"/>
        <w:rPr/>
      </w:pPr>
      <w:r>
        <w:rPr/>
      </w:r>
    </w:p>
    <w:sectPr>
      <w:type w:val="nextPage"/>
      <w:pgSz w:w="11906" w:h="16838"/>
      <w:pgMar w:left="1418" w:right="567" w:header="0" w:top="567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eorgia" w:hAnsi="Georgia" w:cs="Georgia"/>
      <w:b/>
      <w:sz w:val="56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eastAsia="Arial Unicode MS" w:cs="Arial"/>
      <w:b/>
      <w:sz w:val="3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3">
    <w:name w:val="Интернет-ссылка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3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DB141350D536D4761F94359C77DF18A89C086E43B634595BFDCABB7A6AF137D3ED965799B5D7EDDA18313239AF8269DF18CD079A9762C45CF3619E3pDzFN" TargetMode="External"/><Relationship Id="rId3" Type="http://schemas.openxmlformats.org/officeDocument/2006/relationships/hyperlink" Target="consultantplus://offline/ref=5DB141350D536D4761F94359C77DF18A89C086E43B634595BFDCABB7A6AF137D3ED965799B5D7EDDA18313239AF8269DF18CD079A9762C45CF3619E3pDzFN" TargetMode="External"/><Relationship Id="rId4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5" Type="http://schemas.openxmlformats.org/officeDocument/2006/relationships/hyperlink" Target="consultantplus://offline/ref=51A253387CFDA113C40148334DF77FA99792F106AFEAC3ECBC38D510FB9566A23133215BD65526C4974B5728476D8D3F06F38404AE3ABDD626358066W2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LibreOffice/7.1.7.2$Windows_X86_64 LibreOffice_project/c6a4e3954236145e2acb0b65f68614365aeee33f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2022-05-23T11:30:00Z</dcterms:created>
  <dc:creator>Машбюро</dc:creator>
  <dc:description/>
  <dc:language>ru-RU</dc:language>
  <cp:lastModifiedBy/>
  <cp:lastPrinted>2022-05-27T10:43:00Z</cp:lastPrinted>
  <dcterms:modified xsi:type="dcterms:W3CDTF">2022-05-27T11:36:31Z</dcterms:modified>
  <cp:revision>12</cp:revision>
  <dc:subject/>
  <dc:title>Герб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