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/>
        <w:jc w:val="right"/>
        <w:rPr>
          <w:b/>
          <w:b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5103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ind w:lef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ConsPlusNormal"/>
        <w:ind w:lef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министерства экономического развития Рязанской области</w:t>
      </w:r>
    </w:p>
    <w:p>
      <w:pPr>
        <w:pStyle w:val="ConsPlusNormal"/>
        <w:ind w:left="510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18 мая 2022 года № 11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Par31"/>
      <w:bookmarkStart w:id="1" w:name="Par31"/>
      <w:bookmarkEnd w:id="1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Методика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оценки целесообразности разработки государственных программ и ведомственных целевых программ Рязанской области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1. Настоящая методика предназначена для оценки целесообразности разработки государственных программ и ведомственных целевых программ Рязанской области (далее – Оценка).</w:t>
      </w:r>
    </w:p>
    <w:p>
      <w:pPr>
        <w:pStyle w:val="Normal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2. Настоящая методика применяется министерством экономического развития Рязанской области в целях подготовки заключения о целесообразности либо нецелесообразности разработки государственных программ и ведомственных целевых программ Рязанской области (далее – Программа).</w:t>
      </w:r>
    </w:p>
    <w:p>
      <w:pPr>
        <w:pStyle w:val="Normal"/>
        <w:ind w:firstLine="540"/>
        <w:jc w:val="both"/>
        <w:rPr>
          <w:rFonts w:eastAsia="Calibri" w:eastAsiaTheme="minorHAnsi"/>
          <w:sz w:val="28"/>
          <w:szCs w:val="28"/>
          <w:highlight w:val="lightGray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3. Оценка осуществляется на основе документов,  указанных в пункте 3.2 Положения о государственных программах Рязанской области, утвержденного постановлением Правительства Рязанской области от 24.08.2021 № 220, и предоставленных ответственным исполнителем Программы, или документов, указанных в пункте 2.6 Положения </w:t>
      </w:r>
      <w:r>
        <w:rPr>
          <w:sz w:val="28"/>
          <w:szCs w:val="28"/>
        </w:rPr>
        <w:t xml:space="preserve">о порядке разработки, утверждения и реализации ведомственных целевых программ Рязанской области, утвержденного </w:t>
      </w:r>
      <w:r>
        <w:rPr>
          <w:rFonts w:eastAsia="Calibri" w:eastAsiaTheme="minorHAnsi"/>
          <w:sz w:val="28"/>
          <w:szCs w:val="28"/>
          <w:lang w:eastAsia="en-US"/>
        </w:rPr>
        <w:t xml:space="preserve">постановлением Правительства Рязанской области </w:t>
        <w:br/>
        <w:t>от 08.06.2011 № 145, и предоставленных руководителем субъекта бюджетного планирования.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Для Оценки применяется система критериев (Кi).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Каждому критерию (Кi) соответствует определенный весовой коэффициент (Vi). Весовой коэффициент - это коэффициент, определяющий уровень значимости критерия в итоговой оценке.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Степень соответствия параметров Программ (отдельных их разделов, положений) критериям Оценки определяется по балльной шкале в диапазоне от 0 до 10.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Каждый критерий имеет несколько показателей. Каждому показателю соответствует определенное количество баллов.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оценки целесообразности разработки государственных программ Рязанской области и их балльная оценка (Ni) определены в приложении № 1 к настоящей Методике.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оценки целесообразности разработки ведомственных целевых программ Рязанской области и их балльная оценка (Ni) определены в приложении № 2 к настоящей Методике.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Расчет балльной оценки каждого критерия (Кi) производится путем умножения его весового коэффициента (Vi) на одну из балльных оценок (Ni) по формуле: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Кi = Vi x Ni.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Балльная оценка (Ni) определяется наибольшим соответствием Программы одному из показателей.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На основе оценки каждого критерия определяется итоговый показатель Оценки (R). Величина итогового показателя Оценки определяется путем суммирования оценок по всем критериям по следующей формуле: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 = К1 + К2 + К3 +...+ Ki.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Принятие решения о целесообразности разработки государственной программы или ведомственной целевой программы Рязанской области принимается при количестве набранных баллов по итоговому показателю в диапазоне от 7 до 10 включительно.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количестве набранных баллов по итоговому показателю менее 7 принимается решение о нецелесообразности разработки Программы.</w:t>
      </w:r>
    </w:p>
    <w:p>
      <w:pPr>
        <w:pStyle w:val="Normal"/>
        <w:ind w:firstLine="540"/>
        <w:jc w:val="both"/>
        <w:rPr>
          <w:rFonts w:eastAsia="Calibri" w:eastAsiaTheme="minorHAnsi"/>
          <w:sz w:val="28"/>
          <w:szCs w:val="28"/>
          <w:highlight w:val="lightGray"/>
          <w:lang w:eastAsia="en-US"/>
        </w:rPr>
      </w:pPr>
      <w:r>
        <w:rPr>
          <w:rFonts w:eastAsia="Calibri" w:eastAsiaTheme="minorHAnsi"/>
          <w:sz w:val="28"/>
          <w:szCs w:val="28"/>
          <w:highlight w:val="lightGray"/>
          <w:lang w:eastAsia="en-US"/>
        </w:rPr>
      </w:r>
    </w:p>
    <w:p>
      <w:pPr>
        <w:pStyle w:val="Normal"/>
        <w:ind w:firstLine="540"/>
        <w:jc w:val="both"/>
        <w:rPr>
          <w:rFonts w:eastAsia="Calibri" w:eastAsiaTheme="minorHAnsi"/>
          <w:highlight w:val="lightGray"/>
          <w:lang w:eastAsia="en-US"/>
        </w:rPr>
      </w:pPr>
      <w:r>
        <w:rPr>
          <w:rFonts w:eastAsia="Calibri" w:eastAsiaTheme="minorHAnsi"/>
          <w:highlight w:val="lightGray"/>
          <w:lang w:eastAsia="en-US"/>
        </w:rPr>
      </w:r>
    </w:p>
    <w:p>
      <w:pPr>
        <w:pStyle w:val="Normal"/>
        <w:ind w:firstLine="540"/>
        <w:jc w:val="both"/>
        <w:rPr>
          <w:rFonts w:eastAsia="Calibri" w:eastAsiaTheme="minorHAnsi"/>
          <w:highlight w:val="lightGray"/>
          <w:lang w:eastAsia="en-US"/>
        </w:rPr>
      </w:pPr>
      <w:r>
        <w:rPr>
          <w:rFonts w:eastAsia="Calibri" w:eastAsiaTheme="minorHAnsi"/>
          <w:highlight w:val="lightGray"/>
          <w:lang w:eastAsia="en-US"/>
        </w:rPr>
      </w:r>
    </w:p>
    <w:p>
      <w:pPr>
        <w:pStyle w:val="Normal"/>
        <w:ind w:firstLine="540"/>
        <w:jc w:val="both"/>
        <w:rPr>
          <w:rFonts w:eastAsia="Calibri" w:eastAsiaTheme="minorHAnsi"/>
          <w:highlight w:val="lightGray"/>
          <w:lang w:eastAsia="en-US"/>
        </w:rPr>
      </w:pPr>
      <w:r>
        <w:rPr>
          <w:rFonts w:eastAsia="Calibri" w:eastAsiaTheme="minorHAnsi"/>
          <w:highlight w:val="lightGray"/>
          <w:lang w:eastAsia="en-US"/>
        </w:rPr>
      </w:r>
    </w:p>
    <w:p>
      <w:pPr>
        <w:pStyle w:val="Normal"/>
        <w:ind w:firstLine="540"/>
        <w:jc w:val="both"/>
        <w:rPr>
          <w:rFonts w:eastAsia="Calibri" w:eastAsiaTheme="minorHAnsi"/>
          <w:sz w:val="28"/>
          <w:szCs w:val="28"/>
          <w:highlight w:val="lightGray"/>
          <w:lang w:eastAsia="en-US"/>
        </w:rPr>
      </w:pPr>
      <w:r>
        <w:rPr>
          <w:rFonts w:eastAsia="Calibri" w:eastAsiaTheme="minorHAnsi"/>
          <w:sz w:val="28"/>
          <w:szCs w:val="28"/>
          <w:highlight w:val="lightGray"/>
          <w:lang w:eastAsia="en-US"/>
        </w:rPr>
        <w:br/>
      </w:r>
    </w:p>
    <w:p>
      <w:pPr>
        <w:pStyle w:val="Normal"/>
        <w:spacing w:lineRule="auto" w:line="259" w:before="0" w:after="160"/>
        <w:rPr>
          <w:rFonts w:eastAsia="Calibri" w:eastAsiaTheme="minorHAnsi"/>
          <w:sz w:val="28"/>
          <w:szCs w:val="28"/>
          <w:highlight w:val="lightGray"/>
          <w:lang w:eastAsia="en-US"/>
        </w:rPr>
      </w:pPr>
      <w:r>
        <w:rPr>
          <w:rFonts w:eastAsia="Calibri" w:eastAsiaTheme="minorHAnsi"/>
          <w:sz w:val="28"/>
          <w:szCs w:val="28"/>
          <w:highlight w:val="lightGray"/>
          <w:lang w:eastAsia="en-US"/>
        </w:rPr>
      </w:r>
      <w:r>
        <w:br w:type="page"/>
      </w:r>
    </w:p>
    <w:p>
      <w:pPr>
        <w:pStyle w:val="Normal"/>
        <w:jc w:val="center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3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</w:tabs>
        <w:ind w:left="4820" w:hanging="0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53" w:leader="none"/>
        </w:tabs>
        <w:ind w:left="4820" w:hanging="0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Приложение № 1</w:t>
      </w:r>
    </w:p>
    <w:p>
      <w:pPr>
        <w:pStyle w:val="Normal"/>
        <w:tabs>
          <w:tab w:val="clear" w:pos="708"/>
          <w:tab w:val="left" w:pos="4253" w:leader="none"/>
        </w:tabs>
        <w:ind w:left="4820" w:hanging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к методике оценки целесообразности </w:t>
      </w:r>
    </w:p>
    <w:p>
      <w:pPr>
        <w:pStyle w:val="Normal"/>
        <w:tabs>
          <w:tab w:val="clear" w:pos="708"/>
          <w:tab w:val="left" w:pos="4253" w:leader="none"/>
        </w:tabs>
        <w:ind w:left="4820" w:hanging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разработки государственных программ</w:t>
      </w:r>
    </w:p>
    <w:p>
      <w:pPr>
        <w:pStyle w:val="Normal"/>
        <w:tabs>
          <w:tab w:val="clear" w:pos="708"/>
          <w:tab w:val="left" w:pos="4253" w:leader="none"/>
        </w:tabs>
        <w:ind w:left="4820" w:hanging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 xml:space="preserve">и ведомственных целевых программ </w:t>
      </w:r>
    </w:p>
    <w:p>
      <w:pPr>
        <w:pStyle w:val="Normal"/>
        <w:tabs>
          <w:tab w:val="clear" w:pos="708"/>
          <w:tab w:val="left" w:pos="4253" w:leader="none"/>
        </w:tabs>
        <w:ind w:left="4820" w:hanging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Рязанской области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highlight w:val="lightGray"/>
          <w:lang w:eastAsia="en-US"/>
        </w:rPr>
      </w:pPr>
      <w:r>
        <w:rPr>
          <w:rFonts w:eastAsia="Calibri" w:eastAsiaTheme="minorHAnsi"/>
          <w:sz w:val="28"/>
          <w:szCs w:val="28"/>
          <w:highlight w:val="lightGray"/>
          <w:lang w:eastAsia="en-US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Критерии </w:t>
        <w:br/>
        <w:t xml:space="preserve">оценки целесообразности разработки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программ Рязанской области (далее – Программа) </w:t>
      </w:r>
    </w:p>
    <w:p>
      <w:pPr>
        <w:pStyle w:val="Normal"/>
        <w:jc w:val="center"/>
        <w:rPr>
          <w:rFonts w:eastAsia="Calibri" w:eastAsiaTheme="minorHAnsi"/>
          <w:highlight w:val="lightGray"/>
          <w:lang w:eastAsia="en-US"/>
        </w:rPr>
      </w:pPr>
      <w:r>
        <w:rPr>
          <w:sz w:val="28"/>
          <w:szCs w:val="28"/>
        </w:rPr>
        <w:t>и их балльная оценка</w:t>
      </w:r>
    </w:p>
    <w:p>
      <w:pPr>
        <w:pStyle w:val="Normal"/>
        <w:jc w:val="center"/>
        <w:rPr>
          <w:rFonts w:eastAsia="Calibri" w:eastAsiaTheme="minorHAnsi"/>
          <w:highlight w:val="lightGray"/>
          <w:lang w:eastAsia="en-US"/>
        </w:rPr>
      </w:pPr>
      <w:r>
        <w:rPr>
          <w:rFonts w:eastAsia="Calibri" w:eastAsiaTheme="minorHAnsi"/>
          <w:highlight w:val="lightGray"/>
          <w:lang w:eastAsia="en-US"/>
        </w:rPr>
      </w:r>
    </w:p>
    <w:p>
      <w:pPr>
        <w:pStyle w:val="Normal"/>
        <w:jc w:val="center"/>
        <w:rPr>
          <w:rFonts w:eastAsia="Calibri" w:eastAsiaTheme="minorHAnsi"/>
          <w:highlight w:val="lightGray"/>
          <w:lang w:eastAsia="en-US"/>
        </w:rPr>
      </w:pPr>
      <w:r>
        <w:rPr>
          <w:rFonts w:eastAsia="Calibri" w:eastAsiaTheme="minorHAnsi"/>
          <w:highlight w:val="lightGray"/>
          <w:lang w:eastAsia="en-US"/>
        </w:rPr>
      </w:r>
    </w:p>
    <w:tbl>
      <w:tblPr>
        <w:tblW w:w="949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546"/>
        <w:gridCol w:w="1702"/>
        <w:gridCol w:w="3402"/>
        <w:gridCol w:w="1842"/>
      </w:tblGrid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Наименование критериев </w:t>
            </w:r>
            <w:r>
              <w:rPr>
                <w:rFonts w:eastAsia="Calibri" w:eastAsiaTheme="minorHAnsi"/>
                <w:sz w:val="24"/>
                <w:szCs w:val="24"/>
                <w:lang w:val="en-US" w:eastAsia="en-US"/>
              </w:rPr>
              <w:t>(Ki)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Весовой коэффициент критерия (Vi)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Показатель критерия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Бальная оценка показателя критерия (</w:t>
            </w:r>
            <w:r>
              <w:rPr>
                <w:rFonts w:eastAsia="Calibri" w:eastAsiaTheme="minorHAnsi"/>
                <w:sz w:val="24"/>
                <w:szCs w:val="24"/>
                <w:lang w:val="en-US" w:eastAsia="en-US"/>
              </w:rPr>
              <w:t>Ni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)</w:t>
            </w:r>
          </w:p>
        </w:tc>
      </w:tr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1. Соответствие предметной области инициируемой Программы 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приоритетам, целям и задачам социально-экономического развития Рязанской области, определенным стратегией социально-экономического развития Рязанской области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1. Предметная область инициируемой Программы направлена на достижение 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приоритетов, целей и задач социально-экономического развития Рязанской области, определенных стратегией социально-экономического развития Рязанской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2. Предметная область инициируемой Программы не направлена на достижение 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приоритетов, целей и задач социально-экономического развития Рязанской области, определенных стратегией социально-экономического развития Рязанской области, присутствует необходимость решения проблемы программным методом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5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3. Предметная область инициируемой Программы не направлена на достижение 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приоритетов, целей и задач социально-экономического развития Рязанской области, определенных стратегией социально-экономического развития Рязанской области, не требуется решение проблемы программным методом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546"/>
        <w:gridCol w:w="1702"/>
        <w:gridCol w:w="3402"/>
        <w:gridCol w:w="1842"/>
      </w:tblGrid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2. Наличие 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писания проблемной ситуации, обоснование целесообразности и необходимости решения проблемы программным методом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Имеется о</w:t>
            </w:r>
            <w:r>
              <w:rPr>
                <w:sz w:val="24"/>
                <w:szCs w:val="24"/>
              </w:rPr>
              <w:t>писание проблемной ситуации, обоснование целесообразности и необходимости решения проблемы программным методом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2. О</w:t>
            </w:r>
            <w:r>
              <w:rPr>
                <w:sz w:val="24"/>
                <w:szCs w:val="24"/>
              </w:rPr>
              <w:t>писание проблемной ситуации, обоснование целесообразности и необходимости решения проблемы программным методом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 требует доработки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5</w:t>
            </w:r>
          </w:p>
        </w:tc>
      </w:tr>
      <w:tr>
        <w:trPr/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2. Отсутствует о</w:t>
            </w:r>
            <w:r>
              <w:rPr>
                <w:sz w:val="24"/>
                <w:szCs w:val="24"/>
              </w:rPr>
              <w:t>писание проблемной ситуации, обоснование целесообразности и необходимости решения проблемы программным методом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2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3. Наличие оценки рисков реализации Программы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Имеется оценка рисков реализации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2. Оценка рисков реализации Программы требует доработки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5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3. Отсутствует оценка рисков реализации Программы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4. Соответствие намеченных для реализации целей, задач и мероприятий Программы  полномочиям исполнителей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0,1</w:t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Цели, задачи и мероприятия Программы  соответствуют полномочиям исполнителей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2. Цели, задачи и мероприятия Программы  не соответствуют полномочиям исполнителей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5. Предпроектные предложения к Программе соответствуют требованиям, установленным постановлением Правительства Рязанской области от 24.08.2021 № 220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0,2</w:t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1. Предпроектные предложения к Программе соответствуют установленным требованиям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 xml:space="preserve">2. Предпроектные предложения к Программе не соответствуют установленным требованиям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546"/>
        <w:gridCol w:w="1702"/>
        <w:gridCol w:w="3402"/>
        <w:gridCol w:w="1842"/>
      </w:tblGrid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6. Наличие количественно измеримых показателей и результатов структурных элементов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Сформулированы показатели Программы и результаты структурных элементов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2. Сформулированы только показатели или только результаты структурных элементов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5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3. Отсутствуют показатели Программы и результаты структурных элементов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7. Цели, задачи и мероприятия Программы не дублируют цели, задачи и мероприятия действующих государственных программ и ведомственных целевых программ Рязанской области (за исключением целей, задач и мероприятий региональных, ведомственных проектов)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Отсутствуют сходные цели, задачи и мероприятия в  действующих государственных программах и ведомственных целевых программах Рязанской области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2. Имеются сходные цели, задачи и мероприятия в действующих государственных программах и ведомственных целевых программах Рязанской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</w:tbl>
    <w:p>
      <w:pPr>
        <w:pStyle w:val="Normal"/>
        <w:spacing w:lineRule="auto" w:line="259" w:before="0" w:after="16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6</w:t>
      </w:r>
    </w:p>
    <w:p>
      <w:pPr>
        <w:pStyle w:val="Normal"/>
        <w:numPr>
          <w:ilvl w:val="0"/>
          <w:numId w:val="0"/>
        </w:numPr>
        <w:ind w:left="4678" w:hanging="0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4820" w:hanging="0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Приложение № 2</w:t>
      </w:r>
    </w:p>
    <w:p>
      <w:pPr>
        <w:pStyle w:val="Normal"/>
        <w:ind w:left="4820" w:hanging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к методике оценки целесообразности </w:t>
      </w:r>
    </w:p>
    <w:p>
      <w:pPr>
        <w:pStyle w:val="Normal"/>
        <w:ind w:left="4820" w:hanging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разработки государственных программ </w:t>
      </w:r>
    </w:p>
    <w:p>
      <w:pPr>
        <w:pStyle w:val="Normal"/>
        <w:ind w:left="4820" w:hanging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и ведомственных целевых программ </w:t>
      </w:r>
    </w:p>
    <w:p>
      <w:pPr>
        <w:pStyle w:val="Normal"/>
        <w:ind w:left="4820" w:hanging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Рязанской области</w:t>
      </w:r>
      <w:bookmarkStart w:id="2" w:name="Par71"/>
      <w:bookmarkEnd w:id="2"/>
    </w:p>
    <w:p>
      <w:pPr>
        <w:pStyle w:val="Normal"/>
        <w:jc w:val="right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Критерии 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оценки целесообразности разработки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ведомственных целевых программ Рязанской области </w:t>
      </w:r>
      <w:r>
        <w:rPr>
          <w:sz w:val="28"/>
          <w:szCs w:val="28"/>
        </w:rPr>
        <w:t xml:space="preserve">(далее – Программа) </w:t>
      </w:r>
    </w:p>
    <w:p>
      <w:pPr>
        <w:pStyle w:val="Normal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 их балльная оценка</w:t>
      </w:r>
    </w:p>
    <w:p>
      <w:pPr>
        <w:pStyle w:val="Normal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tbl>
      <w:tblPr>
        <w:tblW w:w="949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546"/>
        <w:gridCol w:w="1702"/>
        <w:gridCol w:w="3402"/>
        <w:gridCol w:w="1842"/>
      </w:tblGrid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Наименование критериев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Весовой коэффициент критерия (Vi)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Показатель критерия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Бальная оценка показателя критерия (</w:t>
            </w:r>
            <w:r>
              <w:rPr>
                <w:rFonts w:eastAsia="Calibri" w:eastAsiaTheme="minorHAnsi"/>
                <w:sz w:val="24"/>
                <w:szCs w:val="24"/>
                <w:lang w:val="en-US" w:eastAsia="en-US"/>
              </w:rPr>
              <w:t>Ni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)</w:t>
            </w:r>
          </w:p>
        </w:tc>
      </w:tr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Соответствие предметной области инициируемой Программы государственной политике в установленных сферах деятельности, целям и задачам социально-экономического развития Рязанской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Предметная область инициируемой Программы соответствует государственной политике в установленных сферах деятельности, целям и задачам социально-экономического развития Рязанской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20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2. Предметная область инициируемой Программы не соответствует государственной политике в установленных сферах деятельности, целям и задачам социально-экономического развития Рязанской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2. Наличие о</w:t>
            </w:r>
            <w:r>
              <w:rPr>
                <w:sz w:val="24"/>
                <w:szCs w:val="24"/>
              </w:rPr>
              <w:t xml:space="preserve">писания проблемной ситуации, обоснования необходимости ее решения,  обоснования 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целесообразности и необходимости решения проблемы на ведомственном уровне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1. Имеется описание </w:t>
            </w:r>
            <w:r>
              <w:rPr>
                <w:sz w:val="24"/>
                <w:szCs w:val="24"/>
              </w:rPr>
              <w:t xml:space="preserve">проблемной ситуации, обоснование необходимости ее решения,  обоснование 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целесообразности и необходимости решения проблемы на ведомственном уровне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2. Описание </w:t>
            </w:r>
            <w:r>
              <w:rPr>
                <w:sz w:val="24"/>
                <w:szCs w:val="24"/>
              </w:rPr>
              <w:t xml:space="preserve">проблемной ситуации, обоснование необходимости ее решения, обоснование 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целесообразности и необходимости решения проблемы на ведомственном уровне требует доработки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9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546"/>
        <w:gridCol w:w="1702"/>
        <w:gridCol w:w="3402"/>
        <w:gridCol w:w="1842"/>
      </w:tblGrid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3. Отсутствует описание </w:t>
            </w:r>
            <w:r>
              <w:rPr>
                <w:sz w:val="24"/>
                <w:szCs w:val="24"/>
              </w:rPr>
              <w:t xml:space="preserve">проблемной ситуации, обоснование необходимости ее решения, обоснование 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целесообразности и необходимости решения проблемы на ведомственном уровне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2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3. Наличие оценки рисков реализации Программы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Имеется оценка рисков реализации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2. Оценка рисков реализации Программы требует доработки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5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3. Отсутствует оценка рисков реализации Программы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4. Соответствие намеченных для реализации задач и программных мероприятий полномочиям субъекта бюджетного планирования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Задачи и программные мероприятия полностью соответствуют полномочиям субъекта бюджетного планирования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2. Задачи и программные мероприятия не соответствуют полномочиям субъекта бюджетного планирования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5. Соответствие документов, представленных для проведения оценки целесообразности разработки Программы требованиям, установленным постановлением Правительства Рязанской области от 08.06.2011 № 145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Представленные документы соответствуют установленным требованиям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30</w:t>
            </w:r>
          </w:p>
        </w:tc>
      </w:tr>
      <w:tr>
        <w:trPr>
          <w:trHeight w:val="1962" w:hRule="atLeast"/>
        </w:trPr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2. Представленные документы не соответствуют установленным требованиям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6. Наличие количественно измеримых целевых индикаторов, отражающих достижение задач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Целевые индикаторы отражают степень достижения задач Программы полностью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2. Целевые индикаторы отражают степень достижения задач Программы частично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3. Отсутствуют целевые индикаторы, отражающие степень достижения задач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9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546"/>
        <w:gridCol w:w="1702"/>
        <w:gridCol w:w="3402"/>
        <w:gridCol w:w="1842"/>
      </w:tblGrid>
      <w:tr>
        <w:trPr/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7. Задачи, мероприятия Программы не дублируют задачи, мероприятия действующих государственных программ и ведомственных целевых программ Рязанской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Отсутствуют сходные задачи, мероприятия в  действующих государственных программах и ведомственных целевых программах Рязанской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2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2. Имеются сходные задачи, мероприятия в действующих государственных программах и ведомственных целевых программах Рязанской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0</w:t>
            </w:r>
          </w:p>
        </w:tc>
      </w:tr>
    </w:tbl>
    <w:p>
      <w:pPr>
        <w:pStyle w:val="Normal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pacing w:val="-4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567" w:footer="0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4231e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qFormat/>
    <w:rsid w:val="001b1d8a"/>
    <w:rPr>
      <w:sz w:val="28"/>
      <w:szCs w:val="26"/>
      <w:lang w:val="en-US"/>
    </w:rPr>
  </w:style>
  <w:style w:type="character" w:styleId="Style15" w:customStyle="1">
    <w:name w:val="Текст Знак"/>
    <w:link w:val="PlainText"/>
    <w:qFormat/>
    <w:rsid w:val="001b1d8a"/>
    <w:rPr>
      <w:rFonts w:ascii="Courier New" w:hAnsi="Courier New" w:cs="Courier New"/>
    </w:rPr>
  </w:style>
  <w:style w:type="character" w:styleId="Style16">
    <w:name w:val="Выделение"/>
    <w:uiPriority w:val="20"/>
    <w:qFormat/>
    <w:rsid w:val="00d8220f"/>
    <w:rPr>
      <w:i/>
      <w:iCs/>
    </w:rPr>
  </w:style>
  <w:style w:type="character" w:styleId="HTML" w:customStyle="1">
    <w:name w:val="Стандартный HTML Знак"/>
    <w:link w:val="HTMLPreformatted"/>
    <w:uiPriority w:val="99"/>
    <w:qFormat/>
    <w:rsid w:val="00651a58"/>
    <w:rPr>
      <w:rFonts w:ascii="Courier New" w:hAnsi="Courier New" w:cs="Courier New"/>
    </w:rPr>
  </w:style>
  <w:style w:type="character" w:styleId="Style17" w:customStyle="1">
    <w:name w:val="Верхний колонтитул Знак"/>
    <w:basedOn w:val="DefaultParagraphFont"/>
    <w:qFormat/>
    <w:rsid w:val="005b1fb7"/>
    <w:rPr/>
  </w:style>
  <w:style w:type="character" w:styleId="Style18" w:customStyle="1">
    <w:name w:val="Нижний колонтитул Знак"/>
    <w:basedOn w:val="DefaultParagraphFont"/>
    <w:qFormat/>
    <w:rsid w:val="005b1fb7"/>
    <w:rPr/>
  </w:style>
  <w:style w:type="character" w:styleId="Style19">
    <w:name w:val="Интернет-ссылка"/>
    <w:uiPriority w:val="99"/>
    <w:unhideWhenUsed/>
    <w:rsid w:val="00330251"/>
    <w:rPr>
      <w:color w:val="0000FF"/>
      <w:u w:val="single"/>
    </w:rPr>
  </w:style>
  <w:style w:type="paragraph" w:styleId="Style20" w:customStyle="1">
    <w:name w:val="Заголовок"/>
    <w:next w:val="Style21"/>
    <w:qFormat/>
    <w:rsid w:val="007470b8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Style21">
    <w:name w:val="Body Text"/>
    <w:basedOn w:val="Normal"/>
    <w:link w:val="Style14"/>
    <w:rsid w:val="001b1d8a"/>
    <w:pPr>
      <w:widowControl/>
      <w:spacing w:lineRule="auto" w:line="192" w:before="120" w:after="0"/>
    </w:pPr>
    <w:rPr>
      <w:sz w:val="28"/>
      <w:szCs w:val="26"/>
      <w:lang w:val="en-US" w:eastAsia="x-none"/>
    </w:rPr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semiHidden/>
    <w:qFormat/>
    <w:rsid w:val="000d610a"/>
    <w:pPr/>
    <w:rPr>
      <w:rFonts w:ascii="Tahoma" w:hAnsi="Tahoma" w:cs="Tahoma"/>
      <w:sz w:val="16"/>
      <w:szCs w:val="16"/>
    </w:rPr>
  </w:style>
  <w:style w:type="paragraph" w:styleId="14" w:customStyle="1">
    <w:name w:val="Обычный + 14 пт"/>
    <w:basedOn w:val="Normal"/>
    <w:qFormat/>
    <w:rsid w:val="006a1f4e"/>
    <w:pPr>
      <w:shd w:val="clear" w:color="auto" w:fill="FFFFFF"/>
      <w:spacing w:lineRule="exact" w:line="235" w:before="5" w:after="0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styleId="141" w:customStyle="1">
    <w:name w:val="Обычный + 14 пт По ширине"/>
    <w:basedOn w:val="14"/>
    <w:qFormat/>
    <w:rsid w:val="006a1f4e"/>
    <w:pPr/>
    <w:rPr/>
  </w:style>
  <w:style w:type="paragraph" w:styleId="Caption">
    <w:name w:val="caption"/>
    <w:basedOn w:val="Normal"/>
    <w:next w:val="Normal"/>
    <w:qFormat/>
    <w:rsid w:val="00f97f25"/>
    <w:pPr>
      <w:widowControl/>
      <w:spacing w:lineRule="auto" w:line="288"/>
      <w:jc w:val="center"/>
    </w:pPr>
    <w:rPr>
      <w:b/>
      <w:sz w:val="36"/>
    </w:rPr>
  </w:style>
  <w:style w:type="paragraph" w:styleId="1" w:customStyle="1">
    <w:name w:val="Обычный1"/>
    <w:qFormat/>
    <w:rsid w:val="00b82b2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3230be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qFormat/>
    <w:rsid w:val="001b1d8a"/>
    <w:pPr>
      <w:widowControl/>
    </w:pPr>
    <w:rPr>
      <w:rFonts w:ascii="Courier New" w:hAnsi="Courier New"/>
      <w:lang w:val="x-none" w:eastAsia="x-none"/>
    </w:rPr>
  </w:style>
  <w:style w:type="paragraph" w:styleId="Style25" w:customStyle="1">
    <w:name w:val="Знак"/>
    <w:basedOn w:val="Normal"/>
    <w:qFormat/>
    <w:rsid w:val="002a2ed2"/>
    <w:pPr>
      <w:widowControl/>
      <w:spacing w:lineRule="exact" w:line="240" w:before="0" w:after="160"/>
    </w:pPr>
    <w:rPr>
      <w:rFonts w:ascii="Arial" w:hAnsi="Arial" w:cs="Arial"/>
      <w:lang w:val="en-US" w:eastAsia="en-US"/>
    </w:rPr>
  </w:style>
  <w:style w:type="paragraph" w:styleId="ConsPlusTitle" w:customStyle="1">
    <w:name w:val="ConsPlusTitle"/>
    <w:qFormat/>
    <w:rsid w:val="00562b34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651a58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x-none" w:eastAsia="x-none"/>
    </w:rPr>
  </w:style>
  <w:style w:type="paragraph" w:styleId="ConsPlusNonformat" w:customStyle="1">
    <w:name w:val="ConsPlusNonformat"/>
    <w:qFormat/>
    <w:rsid w:val="00f03197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101dac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7"/>
    <w:rsid w:val="005b1fb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8"/>
    <w:rsid w:val="005b1fb7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f97f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D4CC-A738-4F2A-B0A5-3D78ECE5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Application>LibreOffice/7.3.2.2$Windows_X86_64 LibreOffice_project/49f2b1bff42cfccbd8f788c8dc32c1c309559be0</Application>
  <AppVersion>15.0000</AppVersion>
  <Pages>8</Pages>
  <Words>1152</Words>
  <Characters>8722</Characters>
  <CharactersWithSpaces>9753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2022-04-07T11:01:00Z</dcterms:created>
  <dc:creator>MIV</dc:creator>
  <dc:description/>
  <dc:language>ru-RU</dc:language>
  <cp:lastModifiedBy/>
  <cp:lastPrinted>2022-05-17T14:45:00Z</cp:lastPrinted>
  <dcterms:modified xsi:type="dcterms:W3CDTF">2022-05-20T12:59:49Z</dcterms:modified>
  <cp:revision>49</cp:revision>
  <dc:subject/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