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6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.05.2022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235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/>
          <w:bCs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О проведении общественных обсуждений по предоставлению</w:t>
        <w:br/>
        <w:t>разрешения на условно разрешенный вид использования земельного участка</w:t>
        <w:br/>
        <w:t>с кадастровым номером 62:15:0060422:1440 по адресу: Местоположение</w:t>
        <w:br/>
        <w:t>установлено относительно ориентира, расположенного за пределами участка. Ориентир населенный пункт. Участок находится примерно в 250 м от ориентира</w:t>
        <w:br/>
        <w:t>по направлению на север. Почтовый адрес ориентира: Рязанская область,</w:t>
        <w:br/>
        <w:t>р-н Рязанский, с. Дубровичи</w:t>
      </w:r>
      <w:bookmarkStart w:id="0" w:name="__DdeLink__220_2984622420"/>
      <w:bookmarkStart w:id="1" w:name="__DdeLink__133_3797669617"/>
      <w:bookmarkStart w:id="2" w:name="__DdeLink__220_29846224201"/>
      <w:bookmarkStart w:id="3" w:name="__DdeLink__133_3797669617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Мелкова Александра Сергеевича.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shd w:fill="FFFFFF" w:val="clear"/>
        </w:rPr>
        <w:t>, контактный телефон (4912) 97-19-90 доб. 239).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с 16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2022 г. по 14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июня</w:t>
        <w:br/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>2022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cs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z w:val="28"/>
          <w:szCs w:val="28"/>
          <w:highlight w:val="white"/>
          <w:shd w:fill="FDFDFD" w:val="clear"/>
          <w:lang w:val="en-US"/>
        </w:rPr>
        <w:t>Рязанский район, 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, с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9</w:t>
      </w:r>
      <w:r>
        <w:rPr>
          <w:rFonts w:cs="Times New Roman"/>
          <w:sz w:val="28"/>
          <w:szCs w:val="28"/>
        </w:rPr>
        <w:t>.00 час.</w:t>
        <w:br/>
        <w:t xml:space="preserve">по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17</w:t>
      </w:r>
      <w:r>
        <w:rPr>
          <w:rFonts w:cs="Times New Roman"/>
          <w:sz w:val="28"/>
          <w:szCs w:val="28"/>
        </w:rPr>
        <w:t>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Рязанская область, </w:t>
      </w:r>
      <w:r>
        <w:rPr>
          <w:rFonts w:cs="Times New Roman"/>
          <w:b w:val="false"/>
          <w:i w:val="false"/>
          <w:caps w:val="false"/>
          <w:smallCaps w:val="false"/>
          <w:color w:val="000000"/>
          <w:sz w:val="28"/>
          <w:szCs w:val="28"/>
          <w:shd w:fill="FDFDFD" w:val="clear"/>
        </w:rPr>
        <w:t>Рязанский район,</w:t>
        <w:br/>
        <w:t>с. Дубровичи, ул. Молодежная, д. 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</w:t>
        <w:br/>
        <w:t xml:space="preserve">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236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236</w:t>
        <w:br/>
        <w:t>и электронной почте в режиме р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еального</w:t>
      </w:r>
      <w:r>
        <w:rPr>
          <w:rFonts w:cs="Times New Roman"/>
          <w:sz w:val="28"/>
          <w:szCs w:val="28"/>
          <w:highlight w:val="white"/>
        </w:rPr>
        <w:t xml:space="preserve"> времени (kzz_gku@mail.ru)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sz w:val="28"/>
          <w:szCs w:val="28"/>
        </w:rPr>
        <w:t xml:space="preserve"> 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16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мая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03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ar-SA" w:bidi="ar-SA"/>
        </w:rPr>
        <w:t>июня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9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.00</w:t>
      </w:r>
      <w:r>
        <w:rPr>
          <w:rFonts w:cs="Times New Roman"/>
          <w:sz w:val="28"/>
          <w:szCs w:val="28"/>
        </w:rPr>
        <w:t xml:space="preserve"> час. по 1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7</w:t>
      </w:r>
      <w:r>
        <w:rPr>
          <w:rFonts w:cs="Times New Roman"/>
          <w:sz w:val="28"/>
          <w:szCs w:val="28"/>
        </w:rPr>
        <w:t>.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00</w:t>
      </w:r>
      <w:r>
        <w:rPr>
          <w:rFonts w:cs="Times New Roman"/>
          <w:sz w:val="28"/>
          <w:szCs w:val="28"/>
        </w:rPr>
        <w:t xml:space="preserve">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4" w:name="_GoBack1"/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2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pacing w:lineRule="auto" w:line="240"/>
        <w:jc w:val="both"/>
        <w:rPr>
          <w:sz w:val="28"/>
          <w:szCs w:val="28"/>
        </w:rPr>
      </w:pPr>
      <w:bookmarkEnd w:id="0"/>
      <w:bookmarkEnd w:id="1"/>
      <w:bookmarkEnd w:id="2"/>
      <w:bookmarkEnd w:id="3"/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1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jc w:val="center"/>
      <w:rPr/>
    </w:pPr>
    <w:r>
      <w:rPr/>
    </w:r>
  </w:p>
  <w:p>
    <w:pPr>
      <w:pStyle w:val="Style31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1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rPr/>
    </w:pPr>
    <w:r>
      <w:rPr/>
    </w:r>
  </w:p>
  <w:p>
    <w:pPr>
      <w:pStyle w:val="Style3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5"/>
    <w:next w:val="Style26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Tahoma" w:cs="Noto Sans Devanagari"/>
      <w:b/>
      <w:bCs/>
      <w:sz w:val="48"/>
      <w:szCs w:val="48"/>
    </w:rPr>
  </w:style>
  <w:style w:type="paragraph" w:styleId="2">
    <w:name w:val="Heading 2"/>
    <w:basedOn w:val="Style25"/>
    <w:next w:val="Style26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Tahoma" w:cs="Noto Sans Devanagari"/>
      <w:b/>
      <w:bCs/>
      <w:sz w:val="36"/>
      <w:szCs w:val="36"/>
    </w:rPr>
  </w:style>
  <w:style w:type="paragraph" w:styleId="4">
    <w:name w:val="Heading 4"/>
    <w:basedOn w:val="Style25"/>
    <w:next w:val="Style26"/>
    <w:qFormat/>
    <w:pPr>
      <w:numPr>
        <w:ilvl w:val="3"/>
        <w:numId w:val="1"/>
      </w:numPr>
      <w:spacing w:before="120" w:after="120"/>
      <w:outlineLvl w:val="3"/>
    </w:pPr>
    <w:rPr>
      <w:rFonts w:ascii="Liberation Serif;Times New Roman" w:hAnsi="Liberation Serif;Times New Roman" w:eastAsia="Tahoma" w:cs="Noto Sans Devanagari"/>
      <w:b/>
      <w:bCs/>
      <w:sz w:val="24"/>
      <w:szCs w:val="2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Style12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3">
    <w:name w:val="Номер страницы"/>
    <w:basedOn w:val="Style11"/>
    <w:rPr/>
  </w:style>
  <w:style w:type="character" w:styleId="Style14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6">
    <w:name w:val="Интернет-ссылка"/>
    <w:rPr>
      <w:color w:val="0000FF"/>
      <w:u w:val="single"/>
    </w:rPr>
  </w:style>
  <w:style w:type="character" w:styleId="Style17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18">
    <w:name w:val="Текст сноски Знак"/>
    <w:qFormat/>
    <w:rPr>
      <w:sz w:val="20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11">
    <w:name w:val="Основной шрифт абзаца1"/>
    <w:qFormat/>
    <w:rPr/>
  </w:style>
  <w:style w:type="character" w:styleId="Style19">
    <w:name w:val="Символ концевой сноски"/>
    <w:qFormat/>
    <w:rPr/>
  </w:style>
  <w:style w:type="character" w:styleId="Style20">
    <w:name w:val="Привязка концевой сноски"/>
    <w:rPr>
      <w:vertAlign w:val="superscript"/>
    </w:rPr>
  </w:style>
  <w:style w:type="character" w:styleId="Style21">
    <w:name w:val="Символ сноски"/>
    <w:qFormat/>
    <w:rPr/>
  </w:style>
  <w:style w:type="character" w:styleId="Style22">
    <w:name w:val="Привязка сноски"/>
    <w:rPr>
      <w:vertAlign w:val="superscript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3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Style24">
    <w:name w:val="Название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ascii="PT Sans" w:hAnsi="PT Sans" w:cs="Noto Sans Devanagari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0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pPr/>
    <w:rPr/>
  </w:style>
  <w:style w:type="paragraph" w:styleId="Style32">
    <w:name w:val="Footer"/>
    <w:basedOn w:val="Normal"/>
    <w:pPr/>
    <w:rPr/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4">
    <w:name w:val="Содержимое таблицы"/>
    <w:basedOn w:val="Normal"/>
    <w:qFormat/>
    <w:pPr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Style36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7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color w:val="00FF00"/>
      <w:kern w:val="2"/>
      <w:sz w:val="26"/>
      <w:szCs w:val="20"/>
      <w:u w:val="single"/>
      <w:lang w:val="ru-RU" w:eastAsia="ar-SA" w:bidi="hi-IN"/>
    </w:rPr>
  </w:style>
  <w:style w:type="paragraph" w:styleId="Style39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000000"/>
      <w:kern w:val="2"/>
      <w:sz w:val="26"/>
      <w:szCs w:val="20"/>
      <w:lang w:val="ru-RU" w:eastAsia="ar-SA" w:bidi="hi-IN"/>
    </w:rPr>
  </w:style>
  <w:style w:type="paragraph" w:styleId="Style40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;Times New Roman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Style41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;Times New Roman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;Times New Roman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Arial" w:cs="Liberation Serif;Times New Roman"/>
      <w:color w:val="auto"/>
      <w:kern w:val="2"/>
      <w:sz w:val="26"/>
      <w:szCs w:val="20"/>
      <w:lang w:val="ru-RU" w:eastAsia="ar-SA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6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7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rFonts w:eastAsia="Noto Sans Devanagari"/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31">
    <w:name w:val="Указатель3"/>
    <w:basedOn w:val="Normal"/>
    <w:qFormat/>
    <w:pPr/>
    <w:rPr>
      <w:rFonts w:eastAsia="Noto Sans Devanagari"/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41">
    <w:name w:val="Указатель4"/>
    <w:basedOn w:val="Normal"/>
    <w:qFormat/>
    <w:pPr/>
    <w:rPr>
      <w:rFonts w:eastAsia="Noto Sans Devanagari"/>
      <w:lang w:eastAsia="ar-SA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eastAsia="Noto Sans Devanagari"/>
      <w:i/>
      <w:iCs/>
      <w:lang w:eastAsia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848</TotalTime>
  <Application>LibreOffice/6.4.4.2$Linux_X86_64 LibreOffice_project/40$Build-2</Application>
  <Pages>2</Pages>
  <Words>701</Words>
  <Characters>5287</Characters>
  <CharactersWithSpaces>6104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2022-05-12T12:15:59Z</dcterms:modified>
  <cp:revision>112</cp:revision>
  <dc:subject/>
  <dc:title/>
</cp:coreProperties>
</file>