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15.06.2022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№ 318-п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 проведении общественных обсуждений </w:t>
      </w:r>
      <w:bookmarkStart w:id="0" w:name="__DdeLink__1358_1057225025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по проекту </w:t>
      </w:r>
      <w:bookmarkEnd w:id="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планировки территории по объекту: «Строительство железнодорожного пути необщего пользования»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ООО «Агропромкомплектация-Рязань»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 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Ряжский район, г. Ряжск,</w:t>
        <w:br/>
        <w:t>ул. Советская, д. 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22 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 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Ряжский район,</w:t>
        <w:br/>
        <w:t>г. Ряжск, ул. Советская, д. 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279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22 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4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3">
    <w:name w:val="Heading 3"/>
    <w:basedOn w:val="Style27"/>
    <w:next w:val="Style28"/>
    <w:qFormat/>
    <w:pPr>
      <w:spacing w:before="140" w:after="120"/>
      <w:outlineLvl w:val="2"/>
    </w:pPr>
    <w:rPr>
      <w:rFonts w:ascii="Liberation Serif" w:hAnsi="Liberation Serif" w:eastAsia="Tahoma" w:cs="Noto Sans Devanagari"/>
      <w:b/>
      <w:bCs/>
      <w:sz w:val="28"/>
      <w:szCs w:val="2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Исполнитель документа"/>
    <w:basedOn w:val="Normal"/>
    <w:qFormat/>
    <w:pPr>
      <w:jc w:val="left"/>
    </w:pPr>
    <w:rPr/>
  </w:style>
  <w:style w:type="paragraph" w:styleId="Style42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3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4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6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7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991</TotalTime>
  <Application>LibreOffice/6.4.4.2$Linux_X86_64 LibreOffice_project/40$Build-2</Application>
  <Pages>2</Pages>
  <Words>629</Words>
  <Characters>4802</Characters>
  <CharactersWithSpaces>5448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2022-06-15T14:48:55Z</cp:lastPrinted>
  <dcterms:modified xsi:type="dcterms:W3CDTF">2022-06-15T14:48:57Z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