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.06.2022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highlight w:val="white"/>
          <w:u w:val="none"/>
          <w:lang w:val="ru-RU" w:eastAsia="zh-CN" w:bidi="ar-SA"/>
        </w:rPr>
        <w:t>62:25:0040209:668 по адресу: Рязанская область,</w:t>
        <w:br/>
        <w:t>Шиловский район, в районе с. Тырново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Мартюшева Михаила Сергеевича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0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8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28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Тырново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Советская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, д. 8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 Шиловский район, с. Тырново ул. Советская, д. 8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36</w:t>
        <w:br/>
      </w:r>
      <w:r>
        <w:rPr>
          <w:rFonts w:cs="Times New Roman"/>
          <w:sz w:val="28"/>
          <w:szCs w:val="28"/>
          <w:highlight w:val="white"/>
        </w:rPr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832</TotalTime>
  <Application>LibreOffice/6.4.4.2$Linux_X86_64 LibreOffice_project/40$Build-2</Application>
  <Pages>2</Pages>
  <Words>677</Words>
  <Characters>5100</Characters>
  <CharactersWithSpaces>5895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2022-03-24T16:46:11Z</cp:lastPrinted>
  <dcterms:modified xsi:type="dcterms:W3CDTF">2022-06-07T09:59:24Z</dcterms:modified>
  <cp:revision>109</cp:revision>
  <dc:subject/>
  <dc:title/>
</cp:coreProperties>
</file>