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2D27" w:rsidRDefault="00532D27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532D27" w:rsidRDefault="00532D27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532D27" w:rsidRDefault="00532D27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532D27" w:rsidRDefault="005D23FD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rFonts w:cs="PT Astra Serif"/>
          <w:noProof/>
          <w:sz w:val="28"/>
          <w:szCs w:val="28"/>
          <w:lang w:eastAsia="ru-RU"/>
        </w:rPr>
        <w:drawing>
          <wp:inline distT="0" distB="0" distL="0" distR="0">
            <wp:extent cx="900430" cy="9740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848" t="-3634" r="-3848" b="-3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D27" w:rsidRDefault="005D23FD">
      <w:pPr>
        <w:pStyle w:val="15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32D27" w:rsidRDefault="005D23FD">
      <w:pPr>
        <w:pStyle w:val="1"/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532D27" w:rsidRDefault="00532D27">
      <w:pPr>
        <w:pStyle w:val="af1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532D27" w:rsidRDefault="005D23FD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532D27" w:rsidRDefault="00532D27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532D27" w:rsidRDefault="00532D27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532D27" w:rsidRDefault="005D23F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30 июня </w:t>
      </w:r>
      <w:r>
        <w:rPr>
          <w:rFonts w:cs="PT Astra Serif"/>
          <w:sz w:val="28"/>
          <w:szCs w:val="28"/>
        </w:rPr>
        <w:t xml:space="preserve">2022 г.                      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№ 361-п</w:t>
      </w:r>
    </w:p>
    <w:p w:rsidR="00532D27" w:rsidRDefault="00532D27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532D27" w:rsidRDefault="005D23FD">
      <w:pPr>
        <w:suppressAutoHyphens w:val="0"/>
        <w:autoSpaceDE w:val="0"/>
        <w:ind w:right="283" w:hanging="340"/>
        <w:jc w:val="center"/>
      </w:pPr>
      <w:proofErr w:type="gramStart"/>
      <w:r>
        <w:rPr>
          <w:rFonts w:cs="PT Astra Serif"/>
          <w:sz w:val="28"/>
          <w:szCs w:val="28"/>
        </w:rPr>
        <w:t>О проведении общественных обсуждений по проекту</w:t>
      </w:r>
      <w:r>
        <w:rPr>
          <w:rFonts w:cs="PT Astra Serif"/>
          <w:sz w:val="28"/>
          <w:szCs w:val="28"/>
        </w:rPr>
        <w:t xml:space="preserve"> решения о предоставлении</w:t>
      </w:r>
      <w:r>
        <w:rPr>
          <w:rFonts w:cs="PT Astra Serif"/>
          <w:sz w:val="28"/>
          <w:szCs w:val="28"/>
        </w:rPr>
        <w:br/>
        <w:t>разрешения на отклонение от предельных параметров</w:t>
      </w:r>
      <w:proofErr w:type="gramEnd"/>
      <w:r>
        <w:rPr>
          <w:rFonts w:cs="PT Astra Serif"/>
          <w:sz w:val="28"/>
          <w:szCs w:val="28"/>
        </w:rPr>
        <w:t xml:space="preserve"> разрешенного</w:t>
      </w:r>
      <w:r>
        <w:rPr>
          <w:rFonts w:cs="PT Astra Serif"/>
          <w:sz w:val="28"/>
          <w:szCs w:val="28"/>
        </w:rPr>
        <w:br/>
        <w:t>строительства, реконструкции объекта капитального строительства</w:t>
      </w:r>
      <w:r>
        <w:rPr>
          <w:rFonts w:cs="PT Astra Serif"/>
          <w:sz w:val="28"/>
          <w:szCs w:val="28"/>
        </w:rPr>
        <w:br/>
        <w:t xml:space="preserve">на земельном участке с кадастровым номером 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62:</w:t>
      </w:r>
      <w:r>
        <w:rPr>
          <w:rStyle w:val="13"/>
          <w:color w:val="000000"/>
          <w:spacing w:val="0"/>
          <w:kern w:val="2"/>
          <w:sz w:val="28"/>
          <w:szCs w:val="28"/>
        </w:rPr>
        <w:t>08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0060123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21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по адресу: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br/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Местоположение установлено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>относительно ориентира, расположенного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br/>
        <w:t>в границах участка. Ориентир нежилое строение (ремонтно-механическая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br/>
        <w:t xml:space="preserve">мастерская). </w:t>
      </w:r>
      <w:proofErr w:type="gramStart"/>
      <w:r>
        <w:rPr>
          <w:rStyle w:val="13"/>
          <w:bCs/>
          <w:color w:val="000000"/>
          <w:spacing w:val="0"/>
          <w:kern w:val="2"/>
          <w:sz w:val="28"/>
          <w:szCs w:val="28"/>
        </w:rPr>
        <w:t>Почтовый адрес ориентира: обл. Рязанская, р-н Михайловский,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br/>
        <w:t>г. Михайлов, ул. Зеленая, дом 20 в</w:t>
      </w:r>
      <w:proofErr w:type="gramEnd"/>
    </w:p>
    <w:p w:rsidR="00532D27" w:rsidRDefault="00532D27">
      <w:pPr>
        <w:jc w:val="both"/>
        <w:rPr>
          <w:rFonts w:eastAsia="Microsoft YaHei" w:cs="PT Astra Serif"/>
          <w:color w:val="000000"/>
          <w:sz w:val="28"/>
          <w:szCs w:val="28"/>
          <w:lang w:eastAsia="ru-RU"/>
        </w:rPr>
      </w:pPr>
    </w:p>
    <w:p w:rsidR="00532D27" w:rsidRDefault="005D23FD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</w:t>
      </w:r>
      <w:r>
        <w:rPr>
          <w:rFonts w:cs="PT Astra Serif"/>
          <w:sz w:val="28"/>
          <w:szCs w:val="28"/>
        </w:rPr>
        <w:t xml:space="preserve">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>
        <w:rPr>
          <w:sz w:val="28"/>
          <w:szCs w:val="28"/>
        </w:rPr>
        <w:t>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</w:t>
      </w:r>
      <w:r>
        <w:rPr>
          <w:sz w:val="28"/>
          <w:szCs w:val="28"/>
        </w:rPr>
        <w:t>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</w:t>
      </w:r>
      <w:proofErr w:type="gramStart"/>
      <w:r>
        <w:rPr>
          <w:sz w:val="28"/>
          <w:szCs w:val="28"/>
        </w:rPr>
        <w:t>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532D27" w:rsidRDefault="005D23FD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</w:t>
      </w:r>
      <w:r>
        <w:rPr>
          <w:rFonts w:cs="PT Astra Serif"/>
          <w:sz w:val="28"/>
          <w:szCs w:val="28"/>
        </w:rPr>
        <w:t xml:space="preserve"> застройке Рязанской области организовать и провести общественные обсуждения </w:t>
      </w:r>
      <w:r>
        <w:rPr>
          <w:rFonts w:cs="PT Astra Serif"/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</w:t>
      </w:r>
      <w:r>
        <w:rPr>
          <w:rFonts w:cs="PT Astra Serif"/>
          <w:sz w:val="28"/>
          <w:szCs w:val="28"/>
        </w:rPr>
        <w:t xml:space="preserve">стке с кадастровым номером 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62:</w:t>
      </w:r>
      <w:r>
        <w:rPr>
          <w:rStyle w:val="13"/>
          <w:color w:val="000000"/>
          <w:spacing w:val="0"/>
          <w:kern w:val="2"/>
          <w:sz w:val="28"/>
          <w:szCs w:val="28"/>
        </w:rPr>
        <w:t>08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0060123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21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по адресу: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>Местоположение установлено относительно ориентира, расположенного в границах участка. Ориентир нежилое строение (ремонтно-механическая мастерская). Почтовый адрес ориентира: обл. Рязанская, р-н Михайло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>вский, г. Михайлов, ул. Зеленая, дом 20 в</w:t>
      </w:r>
      <w:r>
        <w:rPr>
          <w:rStyle w:val="13"/>
          <w:rFonts w:cs="PT Astra Serif"/>
          <w:bCs/>
          <w:color w:val="000000"/>
          <w:spacing w:val="0"/>
          <w:kern w:val="2"/>
          <w:sz w:val="28"/>
          <w:szCs w:val="28"/>
        </w:rPr>
        <w:t xml:space="preserve"> </w:t>
      </w:r>
      <w:proofErr w:type="spellStart"/>
      <w:proofErr w:type="gramStart"/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t>в</w:t>
      </w:r>
      <w:proofErr w:type="spellEnd"/>
      <w:proofErr w:type="gramEnd"/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t xml:space="preserve"> части</w:t>
      </w:r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br/>
      </w:r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lastRenderedPageBreak/>
        <w:br/>
      </w:r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br/>
      </w:r>
    </w:p>
    <w:p w:rsidR="00532D27" w:rsidRDefault="005D23FD">
      <w:pPr>
        <w:ind w:right="227"/>
        <w:jc w:val="center"/>
      </w:pPr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t>2</w:t>
      </w:r>
    </w:p>
    <w:p w:rsidR="00532D27" w:rsidRDefault="005D23FD">
      <w:pPr>
        <w:ind w:right="227" w:firstLine="737"/>
        <w:jc w:val="both"/>
      </w:pPr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br/>
        <w:t>уменьшения минимальных отступов от границ земельного участка с южной стороны - 0 м, с северной стороны - 0 м, с восточной стороны - 0 м,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</w:t>
      </w:r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t xml:space="preserve">увеличения максимальной высоты здания - 9,20 м, увеличения </w:t>
      </w:r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t>максимального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</w:t>
      </w:r>
      <w:r>
        <w:rPr>
          <w:rStyle w:val="13"/>
          <w:rFonts w:ascii="Times New Roman;sans-serif" w:hAnsi="Times New Roman;sans-serif" w:cs="Times New Roman;sans-serif"/>
          <w:color w:val="000000"/>
          <w:spacing w:val="0"/>
          <w:kern w:val="2"/>
          <w:sz w:val="28"/>
          <w:szCs w:val="28"/>
          <w:lang w:eastAsia="ru-RU"/>
        </w:rPr>
        <w:t>процента застройки - 63 %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.</w:t>
      </w:r>
    </w:p>
    <w:p w:rsidR="00532D27" w:rsidRDefault="005D23FD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  <w:lang w:eastAsia="ar-SA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  <w:lang w:eastAsia="ar-SA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532D27" w:rsidRDefault="005D23F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532D27" w:rsidRDefault="005D23F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о проведении общественных обсуждений на официальном сайте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в сети «Интернет»;</w:t>
      </w:r>
    </w:p>
    <w:p w:rsidR="00532D27" w:rsidRDefault="005D23FD">
      <w:pPr>
        <w:ind w:right="227" w:firstLine="737"/>
        <w:jc w:val="both"/>
      </w:pPr>
      <w:r>
        <w:rPr>
          <w:sz w:val="28"/>
          <w:szCs w:val="28"/>
        </w:rPr>
        <w:t>2) предложить главе администрации муниципального образова</w:t>
      </w:r>
      <w:r>
        <w:rPr>
          <w:sz w:val="28"/>
          <w:szCs w:val="28"/>
        </w:rPr>
        <w:t xml:space="preserve">ния — </w:t>
      </w:r>
      <w:r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r>
        <w:rPr>
          <w:sz w:val="28"/>
          <w:szCs w:val="28"/>
        </w:rPr>
        <w:t>Михайловское городское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</w:t>
      </w:r>
      <w:r>
        <w:rPr>
          <w:sz w:val="28"/>
          <w:szCs w:val="28"/>
        </w:rPr>
        <w:t>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32D27" w:rsidRDefault="005D23FD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</w:t>
      </w:r>
      <w:r>
        <w:rPr>
          <w:sz w:val="28"/>
          <w:szCs w:val="28"/>
        </w:rPr>
        <w:t>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32D27" w:rsidRDefault="00532D27">
      <w:pPr>
        <w:jc w:val="both"/>
        <w:rPr>
          <w:sz w:val="28"/>
          <w:szCs w:val="28"/>
        </w:rPr>
      </w:pPr>
    </w:p>
    <w:p w:rsidR="00532D27" w:rsidRDefault="00532D27">
      <w:pPr>
        <w:jc w:val="both"/>
        <w:rPr>
          <w:sz w:val="28"/>
          <w:szCs w:val="28"/>
        </w:rPr>
      </w:pPr>
    </w:p>
    <w:p w:rsidR="00532D27" w:rsidRDefault="00532D27">
      <w:pPr>
        <w:jc w:val="both"/>
        <w:rPr>
          <w:sz w:val="28"/>
          <w:szCs w:val="28"/>
        </w:rPr>
      </w:pPr>
    </w:p>
    <w:p w:rsidR="00532D27" w:rsidRDefault="005D23FD">
      <w:pPr>
        <w:tabs>
          <w:tab w:val="left" w:pos="709"/>
        </w:tabs>
        <w:ind w:right="227"/>
        <w:jc w:val="both"/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532D27" w:rsidRDefault="00532D27">
      <w:pPr>
        <w:ind w:right="227" w:firstLine="737"/>
        <w:jc w:val="both"/>
        <w:rPr>
          <w:sz w:val="28"/>
          <w:szCs w:val="28"/>
        </w:rPr>
      </w:pPr>
    </w:p>
    <w:p w:rsidR="00532D27" w:rsidRDefault="00532D27">
      <w:pPr>
        <w:ind w:right="227" w:firstLine="737"/>
        <w:jc w:val="both"/>
        <w:rPr>
          <w:sz w:val="28"/>
          <w:szCs w:val="28"/>
        </w:rPr>
      </w:pPr>
    </w:p>
    <w:p w:rsidR="00532D27" w:rsidRDefault="00532D27">
      <w:pPr>
        <w:ind w:right="227" w:firstLine="737"/>
        <w:jc w:val="both"/>
        <w:rPr>
          <w:sz w:val="28"/>
          <w:szCs w:val="28"/>
        </w:rPr>
      </w:pPr>
    </w:p>
    <w:p w:rsidR="00532D27" w:rsidRDefault="00532D27">
      <w:pPr>
        <w:ind w:right="227" w:firstLine="737"/>
        <w:jc w:val="both"/>
        <w:rPr>
          <w:sz w:val="28"/>
          <w:szCs w:val="28"/>
        </w:rPr>
      </w:pPr>
    </w:p>
    <w:sectPr w:rsidR="00532D27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5B4E"/>
    <w:multiLevelType w:val="multilevel"/>
    <w:tmpl w:val="110C5F4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32D27"/>
    <w:rsid w:val="00532D27"/>
    <w:rsid w:val="005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3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basedOn w:val="a0"/>
    <w:qFormat/>
  </w:style>
  <w:style w:type="character" w:customStyle="1" w:styleId="HeaderChar">
    <w:name w:val="Header Char"/>
    <w:basedOn w:val="a0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basedOn w:val="a0"/>
    <w:qFormat/>
  </w:style>
  <w:style w:type="character" w:customStyle="1" w:styleId="TitleChar">
    <w:name w:val="Title Char"/>
    <w:basedOn w:val="a0"/>
    <w:qFormat/>
    <w:rPr>
      <w:sz w:val="48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6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Содержимое врезки"/>
    <w:basedOn w:val="a"/>
    <w:qFormat/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Верхний колонтитул слева"/>
    <w:basedOn w:val="af1"/>
    <w:qFormat/>
    <w:pPr>
      <w:suppressLineNumbers/>
      <w:tabs>
        <w:tab w:val="center" w:pos="4960"/>
        <w:tab w:val="right" w:pos="9921"/>
      </w:tabs>
    </w:pPr>
  </w:style>
  <w:style w:type="paragraph" w:styleId="afd">
    <w:name w:val="TOC Heading"/>
    <w:qFormat/>
    <w:rPr>
      <w:rFonts w:eastAsia="Noto Sans Devanagari" w:cs="Liberation Serif;Times New Roma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Noto Sans Devanagari" w:cs="Liberation Serif;Times New Roma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593</Words>
  <Characters>3382</Characters>
  <Application>Microsoft Office Word</Application>
  <DocSecurity>0</DocSecurity>
  <Lines>28</Lines>
  <Paragraphs>7</Paragraphs>
  <ScaleCrop>false</ScaleCrop>
  <Company>Microsoft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67</cp:revision>
  <cp:lastPrinted>1995-11-21T17:41:00Z</cp:lastPrinted>
  <dcterms:created xsi:type="dcterms:W3CDTF">2022-06-30T12:25:00Z</dcterms:created>
  <dcterms:modified xsi:type="dcterms:W3CDTF">2022-06-30T12:29:00Z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