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7A5D" w:rsidRPr="00145470" w:rsidRDefault="00DD0680" w:rsidP="00145470">
      <w:pPr>
        <w:tabs>
          <w:tab w:val="left" w:pos="0"/>
        </w:tabs>
        <w:suppressAutoHyphens w:val="0"/>
        <w:ind w:left="5812"/>
        <w:jc w:val="both"/>
        <w:rPr>
          <w:rFonts w:cs="Times New Roman"/>
        </w:rPr>
      </w:pPr>
      <w:proofErr w:type="gramStart"/>
      <w:r w:rsidRPr="00145470">
        <w:rPr>
          <w:rFonts w:eastAsia="Times New Roman" w:cs="Times New Roman"/>
          <w:color w:val="000000"/>
          <w:kern w:val="0"/>
          <w:lang w:eastAsia="ru-RU" w:bidi="ar-SA"/>
        </w:rPr>
        <w:t>Утвержден</w:t>
      </w:r>
      <w:r w:rsidR="00145470" w:rsidRPr="00145470">
        <w:rPr>
          <w:rFonts w:eastAsia="Times New Roman" w:cs="Times New Roman"/>
          <w:color w:val="000000"/>
          <w:kern w:val="0"/>
          <w:lang w:eastAsia="ru-RU" w:bidi="ar-SA"/>
        </w:rPr>
        <w:t>а</w:t>
      </w:r>
      <w:proofErr w:type="gramEnd"/>
      <w:r w:rsidRPr="00145470">
        <w:rPr>
          <w:rFonts w:eastAsia="Times New Roman" w:cs="Times New Roman"/>
          <w:color w:val="000000"/>
          <w:kern w:val="0"/>
          <w:lang w:eastAsia="ru-RU" w:bidi="ar-SA"/>
        </w:rPr>
        <w:t xml:space="preserve"> постановлением</w:t>
      </w:r>
    </w:p>
    <w:p w:rsidR="00977A5D" w:rsidRPr="00145470" w:rsidRDefault="00DD0680" w:rsidP="00145470">
      <w:pPr>
        <w:keepNext/>
        <w:tabs>
          <w:tab w:val="left" w:pos="0"/>
        </w:tabs>
        <w:ind w:left="5812"/>
        <w:jc w:val="both"/>
        <w:rPr>
          <w:rFonts w:cs="Times New Roman"/>
        </w:rPr>
      </w:pPr>
      <w:r w:rsidRPr="00145470">
        <w:rPr>
          <w:rFonts w:cs="Times New Roman"/>
        </w:rPr>
        <w:t>главного управления архитектуры</w:t>
      </w:r>
    </w:p>
    <w:p w:rsidR="00977A5D" w:rsidRPr="00145470" w:rsidRDefault="00DD0680" w:rsidP="00145470">
      <w:pPr>
        <w:keepNext/>
        <w:tabs>
          <w:tab w:val="left" w:pos="0"/>
        </w:tabs>
        <w:ind w:left="5812"/>
        <w:jc w:val="both"/>
        <w:rPr>
          <w:rFonts w:cs="Times New Roman"/>
        </w:rPr>
      </w:pPr>
      <w:r w:rsidRPr="00145470">
        <w:rPr>
          <w:rFonts w:cs="Times New Roman"/>
        </w:rPr>
        <w:t>и градостроительства</w:t>
      </w:r>
    </w:p>
    <w:p w:rsidR="00977A5D" w:rsidRPr="00145470" w:rsidRDefault="00DD0680" w:rsidP="00145470">
      <w:pPr>
        <w:keepNext/>
        <w:tabs>
          <w:tab w:val="left" w:pos="0"/>
        </w:tabs>
        <w:ind w:left="5812"/>
        <w:jc w:val="both"/>
        <w:rPr>
          <w:rFonts w:cs="Times New Roman"/>
        </w:rPr>
      </w:pPr>
      <w:r w:rsidRPr="00145470">
        <w:rPr>
          <w:rFonts w:cs="Times New Roman"/>
        </w:rPr>
        <w:t>Рязанской области</w:t>
      </w:r>
    </w:p>
    <w:p w:rsidR="00977A5D" w:rsidRPr="00145470" w:rsidRDefault="00C329E1" w:rsidP="00145470">
      <w:pPr>
        <w:tabs>
          <w:tab w:val="left" w:pos="0"/>
        </w:tabs>
        <w:suppressAutoHyphens w:val="0"/>
        <w:ind w:left="5812"/>
        <w:jc w:val="both"/>
        <w:rPr>
          <w:rFonts w:cs="Times New Roman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от 21 июля 2022 г. </w:t>
      </w:r>
      <w:r w:rsidR="00DD0680" w:rsidRPr="00145470">
        <w:rPr>
          <w:rFonts w:eastAsia="Times New Roman" w:cs="Times New Roman"/>
          <w:color w:val="000000"/>
          <w:kern w:val="0"/>
          <w:lang w:eastAsia="ru-RU" w:bidi="ar-SA"/>
        </w:rPr>
        <w:t>№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403-п</w:t>
      </w:r>
      <w:bookmarkStart w:id="0" w:name="_GoBack"/>
      <w:bookmarkEnd w:id="0"/>
    </w:p>
    <w:p w:rsidR="00977A5D" w:rsidRPr="00145470" w:rsidRDefault="00977A5D">
      <w:pPr>
        <w:pStyle w:val="a9"/>
        <w:keepNext/>
        <w:ind w:left="5103"/>
        <w:rPr>
          <w:rFonts w:ascii="Times New Roman" w:hAnsi="Times New Roman"/>
          <w:sz w:val="24"/>
          <w:szCs w:val="24"/>
        </w:rPr>
      </w:pPr>
    </w:p>
    <w:p w:rsidR="00977A5D" w:rsidRPr="00145470" w:rsidRDefault="00977A5D">
      <w:pPr>
        <w:pStyle w:val="a9"/>
        <w:keepNext/>
        <w:rPr>
          <w:rFonts w:ascii="Times New Roman" w:hAnsi="Times New Roman"/>
          <w:sz w:val="24"/>
          <w:szCs w:val="24"/>
        </w:rPr>
      </w:pPr>
    </w:p>
    <w:p w:rsidR="00977A5D" w:rsidRPr="00145470" w:rsidRDefault="00977A5D">
      <w:pPr>
        <w:pStyle w:val="a9"/>
        <w:keepNext/>
        <w:rPr>
          <w:rFonts w:ascii="Times New Roman" w:hAnsi="Times New Roman"/>
          <w:sz w:val="24"/>
          <w:szCs w:val="24"/>
        </w:rPr>
      </w:pPr>
    </w:p>
    <w:p w:rsidR="00977A5D" w:rsidRPr="00145470" w:rsidRDefault="00977A5D">
      <w:pPr>
        <w:pStyle w:val="a9"/>
        <w:keepNext/>
        <w:rPr>
          <w:rFonts w:ascii="Times New Roman" w:hAnsi="Times New Roman"/>
          <w:sz w:val="24"/>
          <w:szCs w:val="24"/>
        </w:rPr>
      </w:pPr>
    </w:p>
    <w:p w:rsidR="00977A5D" w:rsidRPr="00145470" w:rsidRDefault="00977A5D">
      <w:pPr>
        <w:pStyle w:val="a9"/>
        <w:keepNext/>
        <w:rPr>
          <w:rFonts w:ascii="Times New Roman" w:hAnsi="Times New Roman"/>
          <w:sz w:val="24"/>
          <w:szCs w:val="24"/>
        </w:rPr>
      </w:pPr>
    </w:p>
    <w:p w:rsidR="00977A5D" w:rsidRPr="00145470" w:rsidRDefault="00977A5D">
      <w:pPr>
        <w:pStyle w:val="a9"/>
        <w:keepNext/>
        <w:rPr>
          <w:rFonts w:ascii="Times New Roman" w:hAnsi="Times New Roman"/>
          <w:sz w:val="24"/>
          <w:szCs w:val="24"/>
        </w:rPr>
      </w:pPr>
    </w:p>
    <w:p w:rsidR="00977A5D" w:rsidRPr="00145470" w:rsidRDefault="00977A5D">
      <w:pPr>
        <w:pStyle w:val="a9"/>
        <w:keepNext/>
        <w:rPr>
          <w:rFonts w:ascii="Times New Roman" w:hAnsi="Times New Roman"/>
          <w:sz w:val="24"/>
          <w:szCs w:val="24"/>
        </w:rPr>
      </w:pPr>
    </w:p>
    <w:p w:rsidR="00977A5D" w:rsidRPr="00145470" w:rsidRDefault="00977A5D">
      <w:pPr>
        <w:pStyle w:val="a9"/>
        <w:rPr>
          <w:rFonts w:ascii="Times New Roman" w:hAnsi="Times New Roman"/>
          <w:sz w:val="24"/>
          <w:szCs w:val="24"/>
        </w:rPr>
      </w:pPr>
    </w:p>
    <w:p w:rsidR="00977A5D" w:rsidRPr="00145470" w:rsidRDefault="00977A5D">
      <w:pPr>
        <w:pStyle w:val="a9"/>
        <w:keepNext/>
        <w:rPr>
          <w:rFonts w:ascii="Times New Roman" w:hAnsi="Times New Roman"/>
          <w:sz w:val="24"/>
          <w:szCs w:val="24"/>
        </w:rPr>
      </w:pPr>
    </w:p>
    <w:p w:rsidR="00977A5D" w:rsidRPr="00145470" w:rsidRDefault="00977A5D">
      <w:pPr>
        <w:pStyle w:val="a9"/>
        <w:keepNext/>
        <w:rPr>
          <w:rFonts w:ascii="Times New Roman" w:hAnsi="Times New Roman"/>
          <w:sz w:val="24"/>
          <w:szCs w:val="24"/>
        </w:rPr>
      </w:pPr>
    </w:p>
    <w:p w:rsidR="00977A5D" w:rsidRPr="00145470" w:rsidRDefault="00977A5D">
      <w:pPr>
        <w:pStyle w:val="a9"/>
        <w:keepNext/>
        <w:rPr>
          <w:rFonts w:ascii="Times New Roman" w:hAnsi="Times New Roman"/>
          <w:sz w:val="24"/>
          <w:szCs w:val="24"/>
        </w:rPr>
      </w:pPr>
    </w:p>
    <w:p w:rsidR="00977A5D" w:rsidRDefault="00DD0680">
      <w:pPr>
        <w:jc w:val="center"/>
      </w:pPr>
      <w:r>
        <w:rPr>
          <w:sz w:val="32"/>
          <w:szCs w:val="32"/>
        </w:rPr>
        <w:t xml:space="preserve">СХЕМА ТЕРРИТОРИАЛЬНОГО ПЛАНИРОВАНИЯ </w:t>
      </w:r>
    </w:p>
    <w:p w:rsidR="00977A5D" w:rsidRDefault="00DD0680">
      <w:pPr>
        <w:jc w:val="center"/>
      </w:pPr>
      <w:r>
        <w:rPr>
          <w:sz w:val="32"/>
          <w:szCs w:val="32"/>
        </w:rPr>
        <w:t xml:space="preserve">муниципального образования - </w:t>
      </w:r>
      <w:proofErr w:type="spellStart"/>
      <w:r w:rsidRPr="00145470">
        <w:rPr>
          <w:sz w:val="32"/>
          <w:szCs w:val="32"/>
        </w:rPr>
        <w:t>С</w:t>
      </w:r>
      <w:r>
        <w:rPr>
          <w:sz w:val="32"/>
          <w:szCs w:val="32"/>
        </w:rPr>
        <w:t>копинский</w:t>
      </w:r>
      <w:proofErr w:type="spellEnd"/>
      <w:r>
        <w:rPr>
          <w:sz w:val="32"/>
          <w:szCs w:val="32"/>
        </w:rPr>
        <w:t xml:space="preserve"> муниципальный район Рязанской области</w:t>
      </w: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  <w:rPr>
          <w:b/>
          <w:bCs/>
          <w:sz w:val="28"/>
          <w:szCs w:val="28"/>
        </w:rPr>
      </w:pPr>
    </w:p>
    <w:p w:rsidR="00977A5D" w:rsidRDefault="00DD0680">
      <w:pPr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977A5D">
      <w:pPr>
        <w:jc w:val="center"/>
      </w:pPr>
    </w:p>
    <w:p w:rsidR="00977A5D" w:rsidRDefault="00DD0680">
      <w:pPr>
        <w:ind w:firstLine="680"/>
        <w:jc w:val="both"/>
      </w:pPr>
      <w:r>
        <w:rPr>
          <w:b/>
          <w:bCs/>
          <w:color w:val="000000"/>
          <w:sz w:val="28"/>
          <w:szCs w:val="28"/>
        </w:rPr>
        <w:lastRenderedPageBreak/>
        <w:t>1. Сведения о видах, назначении и наименованиях планируемых для размещения объектов местного значения муниципального района, их основные характеристики, их местоположение, а также характеристики зон с особыми условиями использования территорий.</w:t>
      </w:r>
    </w:p>
    <w:p w:rsidR="00977A5D" w:rsidRDefault="00977A5D">
      <w:pPr>
        <w:ind w:firstLine="680"/>
        <w:contextualSpacing/>
        <w:jc w:val="both"/>
        <w:rPr>
          <w:color w:val="000000"/>
        </w:rPr>
      </w:pPr>
    </w:p>
    <w:p w:rsidR="00977A5D" w:rsidRDefault="00DD0680">
      <w:pPr>
        <w:ind w:firstLine="680"/>
        <w:contextualSpacing/>
        <w:jc w:val="both"/>
      </w:pPr>
      <w:r>
        <w:rPr>
          <w:color w:val="000000"/>
          <w:sz w:val="28"/>
          <w:szCs w:val="28"/>
        </w:rPr>
        <w:t xml:space="preserve">Все объекты капитального строительства условно можно разделить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линейные, точечные и зональные:</w:t>
      </w:r>
    </w:p>
    <w:p w:rsidR="00977A5D" w:rsidRDefault="00DD0680">
      <w:pPr>
        <w:spacing w:after="100"/>
        <w:ind w:firstLine="737"/>
        <w:contextualSpacing/>
        <w:jc w:val="both"/>
      </w:pPr>
      <w:r>
        <w:rPr>
          <w:color w:val="000000"/>
          <w:sz w:val="28"/>
          <w:szCs w:val="28"/>
        </w:rPr>
        <w:t>- линейные (транспортные, инженерные коммуникации, линии связи);</w:t>
      </w:r>
    </w:p>
    <w:p w:rsidR="00977A5D" w:rsidRDefault="00DD0680">
      <w:pPr>
        <w:spacing w:after="100"/>
        <w:ind w:firstLine="737"/>
        <w:contextualSpacing/>
        <w:jc w:val="both"/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точечные</w:t>
      </w:r>
      <w:proofErr w:type="gramEnd"/>
      <w:r>
        <w:rPr>
          <w:color w:val="000000"/>
          <w:sz w:val="28"/>
          <w:szCs w:val="28"/>
        </w:rPr>
        <w:t xml:space="preserve">, требующие относительно небольших по размеру, компактных площадок; </w:t>
      </w:r>
    </w:p>
    <w:p w:rsidR="00977A5D" w:rsidRDefault="00DD0680">
      <w:pPr>
        <w:spacing w:after="100"/>
        <w:ind w:firstLine="737"/>
        <w:contextualSpacing/>
        <w:jc w:val="both"/>
      </w:pPr>
      <w:r>
        <w:rPr>
          <w:color w:val="000000"/>
          <w:sz w:val="28"/>
          <w:szCs w:val="28"/>
        </w:rPr>
        <w:t>- 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 туризма регионального значения.</w:t>
      </w:r>
    </w:p>
    <w:p w:rsidR="00977A5D" w:rsidRDefault="00DD0680">
      <w:pPr>
        <w:spacing w:after="100"/>
        <w:ind w:firstLine="680"/>
        <w:contextualSpacing/>
        <w:jc w:val="both"/>
      </w:pPr>
      <w:r>
        <w:rPr>
          <w:color w:val="000000"/>
          <w:sz w:val="28"/>
          <w:szCs w:val="28"/>
        </w:rPr>
        <w:t>Объекты точечного характера в основном представлены объектами   производственной сферы и также социальной инфраструктуры. Размещение линейных объектов обусловливается их ролью в технологической цепочке соответствующей системы коммуникаций. При прокладке инженерных коммуникаций по возможности, следует рассматривать их совмещенную трассировку в виде коридоров коммуникаций.</w:t>
      </w:r>
    </w:p>
    <w:p w:rsidR="00977A5D" w:rsidRDefault="00DD0680">
      <w:pPr>
        <w:spacing w:after="100"/>
        <w:ind w:firstLine="737"/>
        <w:contextualSpacing/>
        <w:jc w:val="both"/>
      </w:pPr>
      <w:r>
        <w:rPr>
          <w:color w:val="000000"/>
          <w:sz w:val="28"/>
          <w:szCs w:val="28"/>
        </w:rPr>
        <w:t>Наиболее важными принципами обоснования развития и выбора мест, размещения объектов капитального строительства местного значения, являются:</w:t>
      </w:r>
    </w:p>
    <w:p w:rsidR="00977A5D" w:rsidRDefault="00DD0680">
      <w:pPr>
        <w:spacing w:after="100"/>
        <w:ind w:firstLine="737"/>
        <w:contextualSpacing/>
        <w:jc w:val="both"/>
      </w:pPr>
      <w:r>
        <w:rPr>
          <w:color w:val="000000"/>
          <w:sz w:val="28"/>
          <w:szCs w:val="28"/>
        </w:rPr>
        <w:t>- увязка задач размещения объектов капитального строительства местного значения, с районными и местными аспектами развития территории;</w:t>
      </w:r>
    </w:p>
    <w:p w:rsidR="00977A5D" w:rsidRDefault="00DD0680">
      <w:pPr>
        <w:spacing w:after="100"/>
        <w:ind w:firstLine="737"/>
        <w:contextualSpacing/>
        <w:jc w:val="both"/>
      </w:pPr>
      <w:r>
        <w:rPr>
          <w:color w:val="000000"/>
          <w:sz w:val="28"/>
          <w:szCs w:val="28"/>
        </w:rPr>
        <w:t>- учет ограничений зон с особыми условиями использования территории.</w:t>
      </w:r>
    </w:p>
    <w:p w:rsidR="00977A5D" w:rsidRDefault="00DD0680" w:rsidP="008D7313">
      <w:pPr>
        <w:spacing w:after="100"/>
        <w:ind w:firstLine="709"/>
        <w:contextualSpacing/>
        <w:jc w:val="both"/>
      </w:pPr>
      <w:r>
        <w:rPr>
          <w:color w:val="000000"/>
          <w:sz w:val="28"/>
          <w:szCs w:val="28"/>
        </w:rPr>
        <w:t>Формирование перечня объектов капитального строительства производилось с учетом:</w:t>
      </w:r>
    </w:p>
    <w:p w:rsidR="00977A5D" w:rsidRDefault="00DD0680">
      <w:pPr>
        <w:spacing w:after="100"/>
        <w:ind w:firstLine="737"/>
        <w:contextualSpacing/>
        <w:jc w:val="both"/>
      </w:pPr>
      <w:r>
        <w:rPr>
          <w:color w:val="000000"/>
          <w:sz w:val="28"/>
          <w:szCs w:val="28"/>
        </w:rPr>
        <w:t>-  действующих целевых областных и районных программ;</w:t>
      </w:r>
    </w:p>
    <w:p w:rsidR="00977A5D" w:rsidRDefault="00DD0680">
      <w:pPr>
        <w:spacing w:after="100"/>
        <w:ind w:firstLine="737"/>
        <w:contextualSpacing/>
        <w:jc w:val="both"/>
      </w:pPr>
      <w:r>
        <w:rPr>
          <w:color w:val="000000"/>
          <w:sz w:val="28"/>
          <w:szCs w:val="28"/>
        </w:rPr>
        <w:t>-  предложений Схемы территориального планирования Рязанской области;</w:t>
      </w:r>
    </w:p>
    <w:p w:rsidR="00977A5D" w:rsidRDefault="00DD0680">
      <w:pPr>
        <w:ind w:firstLine="737"/>
        <w:contextualSpacing/>
        <w:jc w:val="both"/>
      </w:pPr>
      <w:r>
        <w:rPr>
          <w:color w:val="000000"/>
          <w:sz w:val="28"/>
          <w:szCs w:val="28"/>
        </w:rPr>
        <w:t>- наличия обоснований целесообразности строительства объектов в составе инвестиционных проектов.</w:t>
      </w:r>
    </w:p>
    <w:p w:rsidR="00977A5D" w:rsidRDefault="00DD0680">
      <w:pPr>
        <w:tabs>
          <w:tab w:val="left" w:pos="57"/>
        </w:tabs>
        <w:ind w:left="57" w:firstLine="680"/>
        <w:jc w:val="both"/>
      </w:pPr>
      <w:r>
        <w:rPr>
          <w:rFonts w:eastAsia="Times New Roman"/>
          <w:color w:val="000000"/>
          <w:sz w:val="28"/>
          <w:szCs w:val="28"/>
        </w:rPr>
        <w:t>Сведения о видах, назначении и наименованиях планируемых и реконструируемых объектов местного значения, их основные характеристики, их местоположение представлены в таблице ниже.</w:t>
      </w:r>
    </w:p>
    <w:p w:rsidR="00977A5D" w:rsidRDefault="00977A5D">
      <w:pPr>
        <w:tabs>
          <w:tab w:val="left" w:pos="57"/>
        </w:tabs>
        <w:ind w:left="57" w:firstLine="680"/>
        <w:jc w:val="both"/>
        <w:rPr>
          <w:color w:val="FB290D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3000"/>
        <w:gridCol w:w="2040"/>
        <w:gridCol w:w="1200"/>
        <w:gridCol w:w="1635"/>
        <w:gridCol w:w="1650"/>
      </w:tblGrid>
      <w:tr w:rsidR="00977A5D">
        <w:trPr>
          <w:trHeight w:val="463"/>
        </w:trPr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pStyle w:val="ae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pStyle w:val="ae"/>
              <w:jc w:val="center"/>
            </w:pPr>
            <w:r>
              <w:t>Наименование объекта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pStyle w:val="ae"/>
              <w:jc w:val="center"/>
            </w:pPr>
            <w:r>
              <w:t>Местоположение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pStyle w:val="ae"/>
              <w:jc w:val="center"/>
            </w:pPr>
            <w:r>
              <w:t>Значение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pStyle w:val="ae"/>
              <w:jc w:val="center"/>
            </w:pPr>
            <w:r>
              <w:t>Статус объекта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7A5D" w:rsidRDefault="00DD0680">
            <w:pPr>
              <w:pStyle w:val="ae"/>
              <w:jc w:val="center"/>
            </w:pPr>
            <w:r>
              <w:t>Зона с особыми условиями использования территории</w:t>
            </w:r>
          </w:p>
        </w:tc>
      </w:tr>
      <w:tr w:rsidR="00977A5D">
        <w:trPr>
          <w:trHeight w:val="463"/>
        </w:trPr>
        <w:tc>
          <w:tcPr>
            <w:tcW w:w="10035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7A5D" w:rsidRDefault="00DD0680">
            <w:pPr>
              <w:pStyle w:val="ae"/>
              <w:jc w:val="center"/>
            </w:pPr>
            <w:r>
              <w:rPr>
                <w:color w:val="000000"/>
              </w:rPr>
              <w:t>Объекты капитального строительства в области газификации</w:t>
            </w:r>
          </w:p>
        </w:tc>
      </w:tr>
      <w:tr w:rsidR="00977A5D">
        <w:trPr>
          <w:trHeight w:val="463"/>
        </w:trPr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pStyle w:val="ae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widowControl w:val="0"/>
              <w:ind w:firstLine="20"/>
              <w:jc w:val="both"/>
              <w:textAlignment w:val="baseline"/>
            </w:pPr>
            <w:r>
              <w:rPr>
                <w:rStyle w:val="10"/>
                <w:rFonts w:eastAsia="Arial Unicode MS" w:cs="Times New Roman"/>
                <w:bCs/>
                <w:color w:val="000000"/>
                <w:kern w:val="0"/>
                <w:lang w:eastAsia="en-US" w:bidi="ar-SA"/>
              </w:rPr>
              <w:t xml:space="preserve">Строительство межпоселкового газопровода </w:t>
            </w:r>
            <w:proofErr w:type="spellStart"/>
            <w:r>
              <w:rPr>
                <w:rStyle w:val="10"/>
                <w:rFonts w:eastAsia="Arial Unicode MS" w:cs="Times New Roman"/>
                <w:bCs/>
                <w:color w:val="000000"/>
                <w:kern w:val="0"/>
                <w:lang w:eastAsia="en-US" w:bidi="ar-SA"/>
              </w:rPr>
              <w:t>Богослово-</w:t>
            </w:r>
            <w:r>
              <w:rPr>
                <w:rStyle w:val="10"/>
                <w:rFonts w:eastAsia="Arial Unicode MS" w:cs="Times New Roman"/>
                <w:bCs/>
                <w:color w:val="000000"/>
                <w:kern w:val="0"/>
                <w:lang w:eastAsia="en-US" w:bidi="ar-SA"/>
              </w:rPr>
              <w:lastRenderedPageBreak/>
              <w:t>Нюховец</w:t>
            </w:r>
            <w:proofErr w:type="spellEnd"/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widowControl w:val="0"/>
              <w:ind w:firstLine="20"/>
              <w:textAlignment w:val="baseline"/>
            </w:pPr>
            <w:proofErr w:type="spellStart"/>
            <w:r>
              <w:rPr>
                <w:rStyle w:val="10"/>
                <w:rFonts w:eastAsia="Arial Unicode MS" w:cs="Times New Roman"/>
                <w:bCs/>
                <w:color w:val="000000"/>
                <w:kern w:val="0"/>
                <w:lang w:eastAsia="en-US" w:bidi="ar-SA"/>
              </w:rPr>
              <w:lastRenderedPageBreak/>
              <w:t>Горловское</w:t>
            </w:r>
            <w:proofErr w:type="spellEnd"/>
            <w:r>
              <w:rPr>
                <w:rStyle w:val="10"/>
                <w:rFonts w:eastAsia="Arial Unicode MS" w:cs="Times New Roman"/>
                <w:bCs/>
                <w:color w:val="000000"/>
                <w:kern w:val="0"/>
                <w:lang w:eastAsia="en-US" w:bidi="ar-SA"/>
              </w:rPr>
              <w:t xml:space="preserve"> сельское поселение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pStyle w:val="TableParagraph"/>
              <w:widowControl w:val="0"/>
              <w:spacing w:line="240" w:lineRule="auto"/>
              <w:ind w:right="6"/>
            </w:pPr>
            <w:r>
              <w:rPr>
                <w:kern w:val="0"/>
                <w:sz w:val="24"/>
                <w:szCs w:val="24"/>
                <w:lang w:eastAsia="en-US"/>
              </w:rPr>
              <w:t>Местное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pStyle w:val="TableParagraph"/>
              <w:widowControl w:val="0"/>
              <w:snapToGrid w:val="0"/>
              <w:spacing w:line="240" w:lineRule="auto"/>
              <w:ind w:left="25" w:right="6"/>
            </w:pPr>
            <w:r>
              <w:rPr>
                <w:kern w:val="0"/>
                <w:sz w:val="24"/>
                <w:szCs w:val="24"/>
                <w:lang w:eastAsia="en-US"/>
              </w:rPr>
              <w:t>Планируемый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7A5D" w:rsidRDefault="00DD0680">
            <w:pPr>
              <w:pStyle w:val="TableParagraph"/>
              <w:widowControl w:val="0"/>
              <w:spacing w:before="2" w:line="240" w:lineRule="auto"/>
              <w:ind w:left="43" w:right="5" w:firstLine="19"/>
            </w:pPr>
            <w:r>
              <w:rPr>
                <w:kern w:val="0"/>
                <w:sz w:val="24"/>
                <w:szCs w:val="24"/>
                <w:lang w:eastAsia="en-US"/>
              </w:rPr>
              <w:t>Требуется</w:t>
            </w:r>
          </w:p>
        </w:tc>
      </w:tr>
      <w:tr w:rsidR="00977A5D">
        <w:trPr>
          <w:trHeight w:val="463"/>
        </w:trPr>
        <w:tc>
          <w:tcPr>
            <w:tcW w:w="10035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7A5D" w:rsidRDefault="00DD0680">
            <w:pPr>
              <w:pStyle w:val="ae"/>
              <w:jc w:val="center"/>
            </w:pPr>
            <w:r>
              <w:rPr>
                <w:color w:val="000000"/>
              </w:rPr>
              <w:lastRenderedPageBreak/>
              <w:t>Объекты капитального строительства в области образования</w:t>
            </w:r>
          </w:p>
        </w:tc>
      </w:tr>
      <w:tr w:rsidR="00977A5D">
        <w:trPr>
          <w:trHeight w:val="463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pStyle w:val="ae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widowControl w:val="0"/>
              <w:spacing w:before="100" w:after="100"/>
              <w:ind w:firstLine="20"/>
              <w:jc w:val="both"/>
              <w:textAlignment w:val="baseline"/>
            </w:pPr>
            <w:r>
              <w:rPr>
                <w:rStyle w:val="10"/>
                <w:rFonts w:eastAsia="Times New Roman" w:cs="Times New Roman"/>
                <w:bCs/>
                <w:color w:val="000000"/>
                <w:kern w:val="0"/>
                <w:lang w:eastAsia="en-US" w:bidi="ar-SA"/>
              </w:rPr>
              <w:t>Реконструкция МБОУ «</w:t>
            </w:r>
            <w:proofErr w:type="spellStart"/>
            <w:r>
              <w:rPr>
                <w:rStyle w:val="10"/>
                <w:rFonts w:eastAsia="Times New Roman" w:cs="Times New Roman"/>
                <w:bCs/>
                <w:color w:val="000000"/>
                <w:kern w:val="0"/>
                <w:lang w:eastAsia="en-US" w:bidi="ar-SA"/>
              </w:rPr>
              <w:t>Чулковская</w:t>
            </w:r>
            <w:proofErr w:type="spellEnd"/>
            <w:r>
              <w:rPr>
                <w:rStyle w:val="10"/>
                <w:rFonts w:eastAsia="Times New Roman" w:cs="Times New Roman"/>
                <w:bCs/>
                <w:color w:val="000000"/>
                <w:kern w:val="0"/>
                <w:lang w:eastAsia="en-US" w:bidi="ar-SA"/>
              </w:rPr>
              <w:t xml:space="preserve"> СОШ»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widowControl w:val="0"/>
              <w:spacing w:before="100" w:after="100"/>
              <w:ind w:firstLine="20"/>
              <w:jc w:val="both"/>
              <w:textAlignment w:val="baseline"/>
            </w:pPr>
            <w:proofErr w:type="spellStart"/>
            <w:r>
              <w:rPr>
                <w:rStyle w:val="10"/>
                <w:rFonts w:eastAsia="Arial Unicode MS" w:cs="Times New Roman"/>
                <w:bCs/>
                <w:color w:val="000000"/>
                <w:kern w:val="0"/>
                <w:lang w:eastAsia="en-US" w:bidi="ar-SA"/>
              </w:rPr>
              <w:t>Побединское</w:t>
            </w:r>
            <w:proofErr w:type="spellEnd"/>
            <w:r>
              <w:rPr>
                <w:rStyle w:val="10"/>
                <w:rFonts w:eastAsia="Arial Unicode MS" w:cs="Times New Roman"/>
                <w:bCs/>
                <w:color w:val="000000"/>
                <w:kern w:val="0"/>
                <w:lang w:eastAsia="en-US" w:bidi="ar-SA"/>
              </w:rPr>
              <w:t xml:space="preserve"> городское поселение, с. </w:t>
            </w:r>
            <w:proofErr w:type="spellStart"/>
            <w:r>
              <w:rPr>
                <w:rStyle w:val="10"/>
                <w:rFonts w:eastAsia="Arial Unicode MS" w:cs="Times New Roman"/>
                <w:bCs/>
                <w:color w:val="000000"/>
                <w:kern w:val="0"/>
                <w:lang w:eastAsia="en-US" w:bidi="ar-SA"/>
              </w:rPr>
              <w:t>Чулково</w:t>
            </w:r>
            <w:proofErr w:type="spellEnd"/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pStyle w:val="TableParagraph"/>
              <w:widowControl w:val="0"/>
              <w:spacing w:before="111" w:line="240" w:lineRule="auto"/>
              <w:ind w:right="6"/>
            </w:pPr>
            <w:r>
              <w:rPr>
                <w:kern w:val="0"/>
                <w:sz w:val="24"/>
                <w:szCs w:val="24"/>
                <w:lang w:eastAsia="en-US"/>
              </w:rPr>
              <w:t>Местное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pStyle w:val="TableParagraph"/>
              <w:widowControl w:val="0"/>
              <w:snapToGrid w:val="0"/>
              <w:spacing w:line="240" w:lineRule="auto"/>
              <w:ind w:left="25" w:right="6"/>
            </w:pPr>
            <w:r>
              <w:rPr>
                <w:kern w:val="0"/>
                <w:sz w:val="24"/>
                <w:szCs w:val="24"/>
                <w:lang w:eastAsia="en-US"/>
              </w:rPr>
              <w:t>Реконструируемый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7A5D" w:rsidRDefault="00DD0680">
            <w:pPr>
              <w:pStyle w:val="TableParagraph"/>
              <w:widowControl w:val="0"/>
              <w:snapToGrid w:val="0"/>
              <w:spacing w:before="2" w:line="240" w:lineRule="auto"/>
              <w:ind w:left="43" w:right="5" w:firstLine="19"/>
            </w:pPr>
            <w:r>
              <w:rPr>
                <w:kern w:val="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977A5D">
        <w:trPr>
          <w:trHeight w:val="463"/>
        </w:trPr>
        <w:tc>
          <w:tcPr>
            <w:tcW w:w="10035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7A5D" w:rsidRDefault="00DD0680">
            <w:pPr>
              <w:pStyle w:val="ae"/>
              <w:spacing w:before="9"/>
              <w:jc w:val="center"/>
            </w:pPr>
            <w:r>
              <w:rPr>
                <w:color w:val="000000"/>
              </w:rPr>
              <w:t>Объекты капитального строительства в области водоснабжения и водоотведения</w:t>
            </w:r>
          </w:p>
        </w:tc>
      </w:tr>
      <w:tr w:rsidR="00977A5D">
        <w:trPr>
          <w:trHeight w:val="463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pStyle w:val="ae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widowControl w:val="0"/>
              <w:ind w:left="57" w:right="-57"/>
              <w:contextualSpacing/>
            </w:pPr>
            <w:r>
              <w:rPr>
                <w:rFonts w:eastAsia="Times New Roman" w:cs="Times New Roman"/>
                <w:color w:val="000000"/>
              </w:rPr>
              <w:t>Реконструкция очистных сооружений (КОС)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ind w:right="-108"/>
              <w:contextualSpacing/>
            </w:pPr>
            <w:proofErr w:type="spellStart"/>
            <w:r>
              <w:rPr>
                <w:rFonts w:cs="Times New Roman"/>
                <w:color w:val="000000"/>
              </w:rPr>
              <w:t>Шелемишевское</w:t>
            </w:r>
            <w:proofErr w:type="spellEnd"/>
            <w:r>
              <w:rPr>
                <w:rFonts w:cs="Times New Roman"/>
                <w:color w:val="000000"/>
              </w:rPr>
              <w:t xml:space="preserve"> сельское поселение, </w:t>
            </w:r>
          </w:p>
          <w:p w:rsidR="00977A5D" w:rsidRDefault="00DD0680">
            <w:pPr>
              <w:ind w:right="-108"/>
              <w:contextualSpacing/>
            </w:pPr>
            <w:r>
              <w:rPr>
                <w:rFonts w:cs="Times New Roman"/>
                <w:color w:val="000000"/>
              </w:rPr>
              <w:t xml:space="preserve">вблизи </w:t>
            </w:r>
          </w:p>
          <w:p w:rsidR="00977A5D" w:rsidRDefault="00DD0680">
            <w:pPr>
              <w:ind w:right="-108"/>
              <w:contextualSpacing/>
            </w:pPr>
            <w:r>
              <w:rPr>
                <w:rFonts w:cs="Times New Roman"/>
                <w:color w:val="000000"/>
              </w:rPr>
              <w:t xml:space="preserve">д. </w:t>
            </w:r>
            <w:proofErr w:type="spellStart"/>
            <w:r>
              <w:rPr>
                <w:rFonts w:cs="Times New Roman"/>
                <w:color w:val="000000"/>
              </w:rPr>
              <w:t>Шелемишевские</w:t>
            </w:r>
            <w:proofErr w:type="spellEnd"/>
          </w:p>
          <w:p w:rsidR="00977A5D" w:rsidRDefault="00DD0680">
            <w:pPr>
              <w:widowControl w:val="0"/>
              <w:ind w:right="-108"/>
              <w:contextualSpacing/>
              <w:jc w:val="both"/>
              <w:textAlignment w:val="baseline"/>
            </w:pPr>
            <w:r>
              <w:rPr>
                <w:rStyle w:val="10"/>
                <w:rFonts w:eastAsia="Arial Unicode MS" w:cs="Times New Roman"/>
                <w:bCs/>
                <w:color w:val="000000"/>
                <w:kern w:val="0"/>
                <w:lang w:eastAsia="en-US" w:bidi="ar-SA"/>
              </w:rPr>
              <w:t>Хутора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pStyle w:val="TableParagraph"/>
              <w:widowControl w:val="0"/>
              <w:spacing w:before="111" w:line="240" w:lineRule="auto"/>
              <w:ind w:right="6"/>
            </w:pPr>
            <w:r>
              <w:rPr>
                <w:kern w:val="0"/>
                <w:sz w:val="24"/>
                <w:szCs w:val="24"/>
                <w:lang w:eastAsia="en-US"/>
              </w:rPr>
              <w:t>Местное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pStyle w:val="TableParagraph"/>
              <w:widowControl w:val="0"/>
              <w:snapToGrid w:val="0"/>
              <w:spacing w:line="240" w:lineRule="auto"/>
              <w:ind w:left="25" w:right="6"/>
            </w:pPr>
            <w:r>
              <w:rPr>
                <w:kern w:val="0"/>
                <w:sz w:val="24"/>
                <w:szCs w:val="24"/>
                <w:lang w:eastAsia="en-US"/>
              </w:rPr>
              <w:t>Реконструируемый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7A5D" w:rsidRDefault="00DD0680">
            <w:pPr>
              <w:pStyle w:val="TableParagraph"/>
              <w:widowControl w:val="0"/>
              <w:spacing w:before="2" w:line="240" w:lineRule="auto"/>
              <w:ind w:left="43" w:right="5" w:firstLine="19"/>
            </w:pPr>
            <w:r>
              <w:rPr>
                <w:kern w:val="0"/>
                <w:sz w:val="24"/>
                <w:szCs w:val="24"/>
                <w:lang w:eastAsia="en-US"/>
              </w:rPr>
              <w:t>Требуется</w:t>
            </w:r>
          </w:p>
        </w:tc>
      </w:tr>
      <w:tr w:rsidR="00977A5D">
        <w:trPr>
          <w:trHeight w:val="463"/>
        </w:trPr>
        <w:tc>
          <w:tcPr>
            <w:tcW w:w="10035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7A5D" w:rsidRDefault="00DD0680">
            <w:pPr>
              <w:pStyle w:val="ae"/>
              <w:spacing w:before="9"/>
              <w:jc w:val="center"/>
            </w:pPr>
            <w:r>
              <w:rPr>
                <w:color w:val="000000"/>
              </w:rPr>
              <w:t>Объекты капитального строительства в области утилизации, обезвреживания, размещения отходов производства и потребления</w:t>
            </w:r>
          </w:p>
        </w:tc>
      </w:tr>
      <w:tr w:rsidR="00977A5D">
        <w:trPr>
          <w:trHeight w:val="463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pStyle w:val="ae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ind w:left="57" w:right="-57"/>
              <w:contextualSpacing/>
            </w:pPr>
            <w:r>
              <w:rPr>
                <w:rFonts w:cs="Times New Roman"/>
                <w:color w:val="000000"/>
              </w:rPr>
              <w:t>Строительство</w:t>
            </w:r>
          </w:p>
          <w:p w:rsidR="00977A5D" w:rsidRDefault="00DD0680">
            <w:pPr>
              <w:ind w:left="113" w:right="-57"/>
              <w:contextualSpacing/>
            </w:pPr>
            <w:r>
              <w:rPr>
                <w:rFonts w:cs="Times New Roman"/>
                <w:color w:val="000000"/>
              </w:rPr>
              <w:t>площадки</w:t>
            </w:r>
          </w:p>
          <w:p w:rsidR="00977A5D" w:rsidRDefault="00DD0680">
            <w:pPr>
              <w:ind w:left="113" w:right="57"/>
              <w:contextualSpacing/>
              <w:jc w:val="both"/>
            </w:pPr>
            <w:r>
              <w:rPr>
                <w:rFonts w:eastAsia="Times New Roman" w:cs="Times New Roman"/>
                <w:bCs/>
                <w:color w:val="000000"/>
                <w:lang w:bidi="ar-SA"/>
              </w:rPr>
              <w:t>временного сбора и накопления твердых коммунальных отходов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ind w:right="-108"/>
              <w:contextualSpacing/>
            </w:pPr>
            <w:proofErr w:type="spellStart"/>
            <w:r>
              <w:rPr>
                <w:rFonts w:cs="Times New Roman"/>
                <w:color w:val="000000"/>
              </w:rPr>
              <w:t>Шелемишевское</w:t>
            </w:r>
            <w:proofErr w:type="spellEnd"/>
            <w:r>
              <w:rPr>
                <w:rFonts w:cs="Times New Roman"/>
                <w:color w:val="000000"/>
              </w:rPr>
              <w:t xml:space="preserve"> сельское поселение, </w:t>
            </w:r>
          </w:p>
          <w:p w:rsidR="00977A5D" w:rsidRDefault="00DD0680">
            <w:pPr>
              <w:ind w:right="-108"/>
              <w:contextualSpacing/>
            </w:pPr>
            <w:r>
              <w:rPr>
                <w:rFonts w:cs="Times New Roman"/>
                <w:color w:val="000000"/>
              </w:rPr>
              <w:t xml:space="preserve">вблизи </w:t>
            </w:r>
          </w:p>
          <w:p w:rsidR="00977A5D" w:rsidRDefault="00DD0680">
            <w:pPr>
              <w:ind w:right="-108"/>
              <w:contextualSpacing/>
            </w:pPr>
            <w:r>
              <w:rPr>
                <w:rFonts w:cs="Times New Roman"/>
                <w:color w:val="000000"/>
              </w:rPr>
              <w:t xml:space="preserve">с. </w:t>
            </w:r>
            <w:proofErr w:type="spellStart"/>
            <w:r>
              <w:rPr>
                <w:rFonts w:cs="Times New Roman"/>
                <w:color w:val="000000"/>
              </w:rPr>
              <w:t>Шелемишево</w:t>
            </w:r>
            <w:proofErr w:type="spellEnd"/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pStyle w:val="TableParagraph"/>
              <w:widowControl w:val="0"/>
              <w:spacing w:before="111" w:line="240" w:lineRule="auto"/>
              <w:ind w:right="6"/>
            </w:pPr>
            <w:r>
              <w:rPr>
                <w:kern w:val="0"/>
                <w:sz w:val="24"/>
                <w:szCs w:val="24"/>
                <w:lang w:eastAsia="en-US"/>
              </w:rPr>
              <w:t>Местное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7A5D" w:rsidRDefault="00DD0680">
            <w:pPr>
              <w:pStyle w:val="TableParagraph"/>
              <w:widowControl w:val="0"/>
              <w:spacing w:line="240" w:lineRule="auto"/>
              <w:ind w:left="25" w:right="6"/>
            </w:pPr>
            <w:r>
              <w:rPr>
                <w:kern w:val="0"/>
                <w:sz w:val="24"/>
                <w:szCs w:val="24"/>
                <w:lang w:eastAsia="en-US"/>
              </w:rPr>
              <w:t>Планируемый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7A5D" w:rsidRDefault="00DD0680">
            <w:pPr>
              <w:pStyle w:val="TableParagraph"/>
              <w:widowControl w:val="0"/>
              <w:snapToGrid w:val="0"/>
              <w:spacing w:before="2" w:line="240" w:lineRule="auto"/>
              <w:ind w:left="43" w:right="5" w:firstLine="19"/>
            </w:pPr>
            <w:r>
              <w:rPr>
                <w:kern w:val="0"/>
                <w:sz w:val="24"/>
                <w:szCs w:val="24"/>
                <w:lang w:eastAsia="en-US"/>
              </w:rPr>
              <w:t>Требуется</w:t>
            </w:r>
          </w:p>
        </w:tc>
      </w:tr>
    </w:tbl>
    <w:p w:rsidR="00977A5D" w:rsidRDefault="00977A5D">
      <w:pPr>
        <w:tabs>
          <w:tab w:val="left" w:pos="57"/>
        </w:tabs>
        <w:ind w:left="57" w:firstLine="680"/>
        <w:jc w:val="both"/>
        <w:rPr>
          <w:color w:val="FB290D"/>
        </w:rPr>
      </w:pPr>
    </w:p>
    <w:p w:rsidR="00977A5D" w:rsidRDefault="00DD0680" w:rsidP="00417545">
      <w:pPr>
        <w:tabs>
          <w:tab w:val="left" w:pos="0"/>
        </w:tabs>
        <w:ind w:firstLine="709"/>
        <w:jc w:val="both"/>
      </w:pPr>
      <w:r>
        <w:rPr>
          <w:rFonts w:eastAsia="Times New Roman"/>
          <w:color w:val="000000"/>
          <w:sz w:val="28"/>
          <w:szCs w:val="28"/>
        </w:rPr>
        <w:t>В схеме территориального планирования учтены следующие основные охранные и защитные (специальные) зоны, которые устанавливают ограничения на использование земельных участков и планируемых объектов капитального строительства, в соответствии с законодательством Российской Федерации:</w:t>
      </w:r>
    </w:p>
    <w:p w:rsidR="00977A5D" w:rsidRDefault="00977A5D">
      <w:pPr>
        <w:tabs>
          <w:tab w:val="left" w:pos="0"/>
        </w:tabs>
        <w:ind w:firstLine="850"/>
        <w:jc w:val="both"/>
        <w:rPr>
          <w:color w:val="FB290D"/>
        </w:rPr>
      </w:pPr>
    </w:p>
    <w:tbl>
      <w:tblPr>
        <w:tblW w:w="0" w:type="auto"/>
        <w:tblInd w:w="-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4"/>
        <w:gridCol w:w="5666"/>
      </w:tblGrid>
      <w:tr w:rsidR="00977A5D">
        <w:trPr>
          <w:tblHeader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A5D" w:rsidRDefault="00DD0680">
            <w:pPr>
              <w:widowControl w:val="0"/>
              <w:spacing w:before="100" w:after="100"/>
              <w:ind w:left="284"/>
              <w:jc w:val="center"/>
            </w:pPr>
            <w:r>
              <w:rPr>
                <w:color w:val="000000"/>
              </w:rPr>
              <w:t>Вид зон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A5D" w:rsidRDefault="00DD0680">
            <w:pPr>
              <w:widowControl w:val="0"/>
              <w:spacing w:before="100" w:after="100"/>
              <w:ind w:left="284"/>
              <w:jc w:val="center"/>
            </w:pPr>
            <w:r>
              <w:rPr>
                <w:color w:val="000000"/>
              </w:rPr>
              <w:t>Нормативно-правовое основание установления зоны</w:t>
            </w:r>
          </w:p>
        </w:tc>
      </w:tr>
      <w:tr w:rsidR="00977A5D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A5D" w:rsidRDefault="00DD0680">
            <w:pPr>
              <w:widowControl w:val="0"/>
              <w:spacing w:before="100" w:after="100"/>
              <w:ind w:left="57" w:right="113"/>
              <w:jc w:val="both"/>
            </w:pPr>
            <w:r>
              <w:rPr>
                <w:color w:val="000000"/>
              </w:rPr>
              <w:t>Охранные зоны объектов системы газоснабжения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5D" w:rsidRDefault="00DD0680">
            <w:pPr>
              <w:pStyle w:val="Default"/>
              <w:widowControl w:val="0"/>
              <w:ind w:left="113" w:right="113"/>
              <w:jc w:val="both"/>
            </w:pPr>
            <w:r>
              <w:t>Федеральный закон от 31.03.1999 г. № 69-ФЗ «О газоснабжении в Российской Федерации»; Постановление Правительства Российской Федерации от 20.11.2000 г. № 878 «Об утверждении Правил охраны газораспределительных сетей»</w:t>
            </w:r>
          </w:p>
        </w:tc>
      </w:tr>
      <w:tr w:rsidR="00977A5D" w:rsidTr="00F7688D">
        <w:trPr>
          <w:trHeight w:val="2267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A5D" w:rsidRDefault="00DD0680">
            <w:pPr>
              <w:pStyle w:val="Default"/>
              <w:ind w:left="57" w:right="113"/>
              <w:jc w:val="both"/>
            </w:pPr>
            <w:r>
              <w:t>Зоны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5D" w:rsidRDefault="00DD0680">
            <w:pPr>
              <w:pStyle w:val="a6"/>
              <w:spacing w:after="0" w:line="240" w:lineRule="auto"/>
              <w:ind w:left="113" w:right="113"/>
              <w:jc w:val="both"/>
            </w:pPr>
            <w:r>
              <w:rPr>
                <w:color w:val="000000"/>
              </w:rPr>
              <w:t xml:space="preserve">Федеральный закон «О санитарно-эпидемиологическом благополучии населения» </w:t>
            </w:r>
            <w:hyperlink r:id="rId8" w:anchor="_blank" w:history="1">
              <w:r>
                <w:rPr>
                  <w:rStyle w:val="a4"/>
                  <w:color w:val="000000"/>
                  <w:u w:val="none"/>
                </w:rPr>
                <w:t xml:space="preserve">от </w:t>
              </w:r>
            </w:hyperlink>
            <w:r>
              <w:rPr>
                <w:rStyle w:val="a4"/>
                <w:color w:val="000000"/>
                <w:u w:val="none"/>
              </w:rPr>
              <w:t>30.03.1999 № 52-ФЗ.</w:t>
            </w:r>
          </w:p>
          <w:p w:rsidR="00977A5D" w:rsidRDefault="00DD0680">
            <w:pPr>
              <w:pStyle w:val="a6"/>
              <w:spacing w:after="0" w:line="240" w:lineRule="auto"/>
              <w:ind w:left="113" w:right="113"/>
              <w:jc w:val="both"/>
            </w:pPr>
            <w:r>
              <w:rPr>
                <w:color w:val="000000"/>
              </w:rPr>
              <w:t>Санитарные правила и нормативы «Зоны санитарной охраны источников водоснабжения и водопроводов питьевого назначения. СанПиН 2.1.4.1110-02».</w:t>
            </w:r>
          </w:p>
          <w:p w:rsidR="00977A5D" w:rsidRDefault="00977A5D">
            <w:pPr>
              <w:pStyle w:val="Default"/>
              <w:widowControl w:val="0"/>
              <w:ind w:left="284"/>
              <w:jc w:val="both"/>
            </w:pPr>
          </w:p>
        </w:tc>
      </w:tr>
      <w:tr w:rsidR="00977A5D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A5D" w:rsidRDefault="00DD0680">
            <w:pPr>
              <w:pStyle w:val="Default"/>
              <w:widowControl w:val="0"/>
              <w:ind w:left="57" w:right="113"/>
              <w:jc w:val="both"/>
            </w:pPr>
            <w:r>
              <w:t>Санитарно-защитные зоны предприятий, сооружений и иных объектов I-V классов вредности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A5D" w:rsidRDefault="00DD0680">
            <w:pPr>
              <w:pStyle w:val="Default"/>
              <w:widowControl w:val="0"/>
              <w:ind w:left="113" w:right="170"/>
              <w:jc w:val="both"/>
            </w:pPr>
            <w:r>
              <w:t>СанПиН 2.2.1/2.1.1.1200-03 «Санитарно-защитные зоны и санитарная классификация предприятий, сооружений и иных объектов».</w:t>
            </w:r>
          </w:p>
        </w:tc>
      </w:tr>
    </w:tbl>
    <w:p w:rsidR="00977A5D" w:rsidRDefault="00DD0680">
      <w:pPr>
        <w:pStyle w:val="2"/>
        <w:spacing w:before="0" w:after="0"/>
      </w:pPr>
      <w:r>
        <w:rPr>
          <w:rFonts w:cs="Times New Roman"/>
          <w:kern w:val="0"/>
          <w:sz w:val="28"/>
          <w:lang w:eastAsia="ru-RU" w:bidi="ar-SA"/>
        </w:rPr>
        <w:lastRenderedPageBreak/>
        <w:t>2. Параметры функциональных зон, установленных на межселенных территориях, в случае если на межселенных территориях планируется размещение объектов федерального значения, объектов регионального значения, объектов местного значения (за исключением линейных объектов), а также сведения о планируемых для размещения в указанных зонах объектах федерального значения, объектах регионального значения, объектах местного значения.</w:t>
      </w:r>
    </w:p>
    <w:p w:rsidR="00977A5D" w:rsidRDefault="00977A5D">
      <w:pPr>
        <w:ind w:firstLine="737"/>
        <w:jc w:val="both"/>
        <w:rPr>
          <w:color w:val="000000"/>
        </w:rPr>
      </w:pPr>
    </w:p>
    <w:p w:rsidR="00DD0680" w:rsidRDefault="00DD0680">
      <w:pPr>
        <w:ind w:firstLine="737"/>
        <w:jc w:val="both"/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территории муниципального образования -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Скопинский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муниципальный район Рязанской области отсутствуют межселенные территории.</w:t>
      </w:r>
    </w:p>
    <w:sectPr w:rsidR="00DD0680" w:rsidSect="00CB7E10">
      <w:headerReference w:type="default" r:id="rId9"/>
      <w:pgSz w:w="11906" w:h="16838"/>
      <w:pgMar w:top="1474" w:right="567" w:bottom="1134" w:left="1417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712" w:rsidRDefault="00214712">
      <w:r>
        <w:separator/>
      </w:r>
    </w:p>
  </w:endnote>
  <w:endnote w:type="continuationSeparator" w:id="0">
    <w:p w:rsidR="00214712" w:rsidRDefault="0021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712" w:rsidRDefault="00214712">
      <w:r>
        <w:separator/>
      </w:r>
    </w:p>
  </w:footnote>
  <w:footnote w:type="continuationSeparator" w:id="0">
    <w:p w:rsidR="00214712" w:rsidRDefault="00214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A5D" w:rsidRDefault="00DD0680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C329E1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4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4B"/>
    <w:rsid w:val="00145470"/>
    <w:rsid w:val="00214712"/>
    <w:rsid w:val="00286368"/>
    <w:rsid w:val="00417545"/>
    <w:rsid w:val="00724859"/>
    <w:rsid w:val="008D7313"/>
    <w:rsid w:val="00977A5D"/>
    <w:rsid w:val="00BC3038"/>
    <w:rsid w:val="00C329E1"/>
    <w:rsid w:val="00CB7E10"/>
    <w:rsid w:val="00CD2C4B"/>
    <w:rsid w:val="00DD0680"/>
    <w:rsid w:val="00F7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NSimSun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keepLines/>
      <w:tabs>
        <w:tab w:val="num" w:pos="0"/>
      </w:tabs>
      <w:ind w:firstLine="709"/>
      <w:jc w:val="both"/>
      <w:outlineLvl w:val="0"/>
    </w:pPr>
    <w:rPr>
      <w:rFonts w:eastAsia="Arial" w:cs="Times New Roman"/>
      <w:b/>
      <w:bCs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100" w:after="100"/>
      <w:ind w:firstLine="737"/>
      <w:jc w:val="both"/>
      <w:outlineLvl w:val="1"/>
    </w:pPr>
    <w:rPr>
      <w:rFonts w:eastAsia="Times New Roman"/>
      <w:b/>
      <w:bCs/>
      <w:iCs/>
      <w:color w:val="000000"/>
      <w:szCs w:val="28"/>
    </w:rPr>
  </w:style>
  <w:style w:type="paragraph" w:styleId="3">
    <w:name w:val="heading 3"/>
    <w:basedOn w:val="a"/>
    <w:next w:val="a0"/>
    <w:qFormat/>
    <w:pPr>
      <w:keepNext/>
      <w:tabs>
        <w:tab w:val="left" w:pos="1276"/>
      </w:tabs>
      <w:spacing w:before="120" w:after="60"/>
      <w:jc w:val="center"/>
      <w:outlineLvl w:val="2"/>
    </w:pPr>
    <w:rPr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icrosoft YaHe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9">
    <w:name w:val="No Spacing"/>
    <w:qFormat/>
    <w:pPr>
      <w:suppressAutoHyphens/>
      <w:overflowPunct w:val="0"/>
    </w:pPr>
    <w:rPr>
      <w:rFonts w:ascii="Calibri" w:eastAsia="Calibri" w:hAnsi="Calibri"/>
      <w:sz w:val="22"/>
      <w:szCs w:val="22"/>
      <w:lang w:eastAsia="zh-CN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paragraph" w:styleId="12">
    <w:name w:val="toc 1"/>
    <w:basedOn w:val="a"/>
    <w:next w:val="a"/>
    <w:pPr>
      <w:tabs>
        <w:tab w:val="right" w:leader="dot" w:pos="9923"/>
      </w:tabs>
      <w:ind w:firstLine="567"/>
    </w:pPr>
  </w:style>
  <w:style w:type="paragraph" w:styleId="ac">
    <w:name w:val="Title"/>
    <w:basedOn w:val="12"/>
    <w:next w:val="a6"/>
    <w:qFormat/>
    <w:pPr>
      <w:suppressAutoHyphens w:val="0"/>
      <w:spacing w:before="100" w:after="100"/>
      <w:ind w:firstLine="680"/>
      <w:jc w:val="both"/>
    </w:pPr>
    <w:rPr>
      <w:rFonts w:eastAsia="Times New Roman"/>
      <w:b/>
      <w:bCs/>
      <w:sz w:val="28"/>
      <w:szCs w:val="28"/>
    </w:rPr>
  </w:style>
  <w:style w:type="paragraph" w:customStyle="1" w:styleId="ad">
    <w:name w:val="текст"/>
    <w:basedOn w:val="a"/>
    <w:pPr>
      <w:spacing w:before="120" w:after="120"/>
    </w:pPr>
    <w:rPr>
      <w:rFonts w:cs="Times New Roman"/>
      <w:sz w:val="28"/>
    </w:rPr>
  </w:style>
  <w:style w:type="paragraph" w:customStyle="1" w:styleId="Main">
    <w:name w:val="Main"/>
    <w:basedOn w:val="a"/>
    <w:pPr>
      <w:ind w:firstLine="709"/>
    </w:pPr>
    <w:rPr>
      <w:szCs w:val="28"/>
    </w:rPr>
  </w:style>
  <w:style w:type="paragraph" w:customStyle="1" w:styleId="110">
    <w:name w:val="Табличный_боковик_11"/>
    <w:pPr>
      <w:suppressAutoHyphens/>
    </w:pPr>
    <w:rPr>
      <w:kern w:val="2"/>
      <w:sz w:val="22"/>
      <w:szCs w:val="24"/>
      <w:lang w:eastAsia="zh-CN"/>
    </w:r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paragraph" w:customStyle="1" w:styleId="Standard">
    <w:name w:val="Standard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TableParagraph">
    <w:name w:val="Table Paragraph"/>
    <w:basedOn w:val="Standard"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3">
    <w:name w:val="Маркированный список1"/>
    <w:basedOn w:val="a"/>
    <w:pPr>
      <w:widowControl w:val="0"/>
    </w:pPr>
    <w:rPr>
      <w:rFonts w:eastAsia="Times New Roman"/>
      <w:color w:val="000000"/>
    </w:rPr>
  </w:style>
  <w:style w:type="paragraph" w:customStyle="1" w:styleId="20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  <w:textAlignment w:val="baseline"/>
    </w:pPr>
    <w:rPr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a0">
    <w:name w:val="Абзац"/>
    <w:pPr>
      <w:suppressAutoHyphens/>
      <w:spacing w:before="120" w:after="60"/>
      <w:ind w:firstLine="567"/>
      <w:jc w:val="both"/>
    </w:pPr>
    <w:rPr>
      <w:sz w:val="24"/>
      <w:szCs w:val="24"/>
    </w:rPr>
  </w:style>
  <w:style w:type="paragraph" w:customStyle="1" w:styleId="Lbullit">
    <w:name w:val="! L=bullit ! Знак Знак"/>
    <w:basedOn w:val="a"/>
    <w:pPr>
      <w:tabs>
        <w:tab w:val="left" w:pos="360"/>
        <w:tab w:val="num" w:pos="567"/>
      </w:tabs>
      <w:spacing w:before="60" w:after="60"/>
      <w:jc w:val="both"/>
    </w:pPr>
    <w:rPr>
      <w:rFonts w:ascii="Calibri" w:eastAsia="Calibri" w:hAnsi="Calibri" w:cs="Calibri"/>
      <w:color w:val="000000"/>
      <w:szCs w:val="16"/>
    </w:rPr>
  </w:style>
  <w:style w:type="paragraph" w:styleId="af1">
    <w:name w:val="footer"/>
    <w:basedOn w:val="a"/>
    <w:link w:val="af2"/>
    <w:uiPriority w:val="99"/>
    <w:unhideWhenUsed/>
    <w:rsid w:val="00BC303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Нижний колонтитул Знак"/>
    <w:basedOn w:val="a1"/>
    <w:link w:val="af1"/>
    <w:uiPriority w:val="99"/>
    <w:rsid w:val="00BC3038"/>
    <w:rPr>
      <w:rFonts w:eastAsia="NSimSun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NSimSun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keepLines/>
      <w:tabs>
        <w:tab w:val="num" w:pos="0"/>
      </w:tabs>
      <w:ind w:firstLine="709"/>
      <w:jc w:val="both"/>
      <w:outlineLvl w:val="0"/>
    </w:pPr>
    <w:rPr>
      <w:rFonts w:eastAsia="Arial" w:cs="Times New Roman"/>
      <w:b/>
      <w:bCs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100" w:after="100"/>
      <w:ind w:firstLine="737"/>
      <w:jc w:val="both"/>
      <w:outlineLvl w:val="1"/>
    </w:pPr>
    <w:rPr>
      <w:rFonts w:eastAsia="Times New Roman"/>
      <w:b/>
      <w:bCs/>
      <w:iCs/>
      <w:color w:val="000000"/>
      <w:szCs w:val="28"/>
    </w:rPr>
  </w:style>
  <w:style w:type="paragraph" w:styleId="3">
    <w:name w:val="heading 3"/>
    <w:basedOn w:val="a"/>
    <w:next w:val="a0"/>
    <w:qFormat/>
    <w:pPr>
      <w:keepNext/>
      <w:tabs>
        <w:tab w:val="left" w:pos="1276"/>
      </w:tabs>
      <w:spacing w:before="120" w:after="60"/>
      <w:jc w:val="center"/>
      <w:outlineLvl w:val="2"/>
    </w:pPr>
    <w:rPr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icrosoft YaHe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9">
    <w:name w:val="No Spacing"/>
    <w:qFormat/>
    <w:pPr>
      <w:suppressAutoHyphens/>
      <w:overflowPunct w:val="0"/>
    </w:pPr>
    <w:rPr>
      <w:rFonts w:ascii="Calibri" w:eastAsia="Calibri" w:hAnsi="Calibri"/>
      <w:sz w:val="22"/>
      <w:szCs w:val="22"/>
      <w:lang w:eastAsia="zh-CN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paragraph" w:styleId="12">
    <w:name w:val="toc 1"/>
    <w:basedOn w:val="a"/>
    <w:next w:val="a"/>
    <w:pPr>
      <w:tabs>
        <w:tab w:val="right" w:leader="dot" w:pos="9923"/>
      </w:tabs>
      <w:ind w:firstLine="567"/>
    </w:pPr>
  </w:style>
  <w:style w:type="paragraph" w:styleId="ac">
    <w:name w:val="Title"/>
    <w:basedOn w:val="12"/>
    <w:next w:val="a6"/>
    <w:qFormat/>
    <w:pPr>
      <w:suppressAutoHyphens w:val="0"/>
      <w:spacing w:before="100" w:after="100"/>
      <w:ind w:firstLine="680"/>
      <w:jc w:val="both"/>
    </w:pPr>
    <w:rPr>
      <w:rFonts w:eastAsia="Times New Roman"/>
      <w:b/>
      <w:bCs/>
      <w:sz w:val="28"/>
      <w:szCs w:val="28"/>
    </w:rPr>
  </w:style>
  <w:style w:type="paragraph" w:customStyle="1" w:styleId="ad">
    <w:name w:val="текст"/>
    <w:basedOn w:val="a"/>
    <w:pPr>
      <w:spacing w:before="120" w:after="120"/>
    </w:pPr>
    <w:rPr>
      <w:rFonts w:cs="Times New Roman"/>
      <w:sz w:val="28"/>
    </w:rPr>
  </w:style>
  <w:style w:type="paragraph" w:customStyle="1" w:styleId="Main">
    <w:name w:val="Main"/>
    <w:basedOn w:val="a"/>
    <w:pPr>
      <w:ind w:firstLine="709"/>
    </w:pPr>
    <w:rPr>
      <w:szCs w:val="28"/>
    </w:rPr>
  </w:style>
  <w:style w:type="paragraph" w:customStyle="1" w:styleId="110">
    <w:name w:val="Табличный_боковик_11"/>
    <w:pPr>
      <w:suppressAutoHyphens/>
    </w:pPr>
    <w:rPr>
      <w:kern w:val="2"/>
      <w:sz w:val="22"/>
      <w:szCs w:val="24"/>
      <w:lang w:eastAsia="zh-CN"/>
    </w:r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paragraph" w:customStyle="1" w:styleId="Standard">
    <w:name w:val="Standard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TableParagraph">
    <w:name w:val="Table Paragraph"/>
    <w:basedOn w:val="Standard"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3">
    <w:name w:val="Маркированный список1"/>
    <w:basedOn w:val="a"/>
    <w:pPr>
      <w:widowControl w:val="0"/>
    </w:pPr>
    <w:rPr>
      <w:rFonts w:eastAsia="Times New Roman"/>
      <w:color w:val="000000"/>
    </w:rPr>
  </w:style>
  <w:style w:type="paragraph" w:customStyle="1" w:styleId="20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  <w:textAlignment w:val="baseline"/>
    </w:pPr>
    <w:rPr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a0">
    <w:name w:val="Абзац"/>
    <w:pPr>
      <w:suppressAutoHyphens/>
      <w:spacing w:before="120" w:after="60"/>
      <w:ind w:firstLine="567"/>
      <w:jc w:val="both"/>
    </w:pPr>
    <w:rPr>
      <w:sz w:val="24"/>
      <w:szCs w:val="24"/>
    </w:rPr>
  </w:style>
  <w:style w:type="paragraph" w:customStyle="1" w:styleId="Lbullit">
    <w:name w:val="! L=bullit ! Знак Знак"/>
    <w:basedOn w:val="a"/>
    <w:pPr>
      <w:tabs>
        <w:tab w:val="left" w:pos="360"/>
        <w:tab w:val="num" w:pos="567"/>
      </w:tabs>
      <w:spacing w:before="60" w:after="60"/>
      <w:jc w:val="both"/>
    </w:pPr>
    <w:rPr>
      <w:rFonts w:ascii="Calibri" w:eastAsia="Calibri" w:hAnsi="Calibri" w:cs="Calibri"/>
      <w:color w:val="000000"/>
      <w:szCs w:val="16"/>
    </w:rPr>
  </w:style>
  <w:style w:type="paragraph" w:styleId="af1">
    <w:name w:val="footer"/>
    <w:basedOn w:val="a"/>
    <w:link w:val="af2"/>
    <w:uiPriority w:val="99"/>
    <w:unhideWhenUsed/>
    <w:rsid w:val="00BC303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Нижний колонтитул Знак"/>
    <w:basedOn w:val="a1"/>
    <w:link w:val="af1"/>
    <w:uiPriority w:val="99"/>
    <w:rsid w:val="00BC3038"/>
    <w:rPr>
      <w:rFonts w:eastAsia="NSimSu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248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1995-11-21T14:41:00Z</cp:lastPrinted>
  <dcterms:created xsi:type="dcterms:W3CDTF">2022-07-18T09:32:00Z</dcterms:created>
  <dcterms:modified xsi:type="dcterms:W3CDTF">2022-07-21T08:03:00Z</dcterms:modified>
</cp:coreProperties>
</file>