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301D" w:rsidRDefault="00885FC6">
      <w:pPr>
        <w:keepNext/>
        <w:spacing w:before="0" w:after="0"/>
        <w:ind w:left="5670"/>
        <w:jc w:val="left"/>
      </w:pPr>
      <w:r>
        <w:t xml:space="preserve">Утвержден </w:t>
      </w:r>
    </w:p>
    <w:p w:rsidR="0048301D" w:rsidRDefault="00885FC6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48301D" w:rsidRDefault="00885FC6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48301D" w:rsidRDefault="00885FC6">
      <w:pPr>
        <w:keepNext/>
        <w:spacing w:before="0" w:after="0"/>
        <w:ind w:left="5670"/>
        <w:jc w:val="left"/>
      </w:pPr>
      <w:r>
        <w:t>Рязанской области</w:t>
      </w:r>
    </w:p>
    <w:p w:rsidR="0048301D" w:rsidRDefault="008F5E35">
      <w:pPr>
        <w:keepNext/>
        <w:tabs>
          <w:tab w:val="left" w:pos="5100"/>
        </w:tabs>
        <w:spacing w:before="0" w:after="0"/>
        <w:ind w:left="5670"/>
        <w:jc w:val="left"/>
      </w:pPr>
      <w:r>
        <w:t xml:space="preserve">от 21 июля 2022 г. </w:t>
      </w:r>
      <w:r w:rsidR="00885FC6">
        <w:t>№</w:t>
      </w:r>
      <w:r>
        <w:t xml:space="preserve"> 404-п</w:t>
      </w:r>
      <w:bookmarkStart w:id="0" w:name="_GoBack"/>
      <w:bookmarkEnd w:id="0"/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885FC6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48301D" w:rsidRDefault="00885FC6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Листвянское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48301D" w:rsidRDefault="00885FC6">
      <w:pPr>
        <w:pStyle w:val="a7"/>
        <w:spacing w:after="6"/>
        <w:ind w:firstLine="0"/>
        <w:jc w:val="center"/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48301D" w:rsidRDefault="00885FC6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885FC6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48301D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8301D" w:rsidRDefault="00885FC6">
      <w:pPr>
        <w:pStyle w:val="1"/>
        <w:spacing w:before="0" w:after="0"/>
        <w:ind w:firstLine="567"/>
        <w:contextualSpacing/>
        <w:jc w:val="both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Листвянское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планируется размещение объектов местного значения, приведенные в таблице ниже.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171"/>
        <w:gridCol w:w="2179"/>
        <w:gridCol w:w="3409"/>
      </w:tblGrid>
      <w:tr w:rsidR="0048301D">
        <w:trPr>
          <w:trHeight w:val="497"/>
          <w:tblHeader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TableParagraph"/>
              <w:widowControl w:val="0"/>
              <w:suppressAutoHyphens w:val="0"/>
              <w:spacing w:line="240" w:lineRule="auto"/>
              <w:ind w:left="57" w:right="57" w:hanging="10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48301D" w:rsidRDefault="00885FC6">
            <w:pPr>
              <w:pStyle w:val="af7"/>
              <w:widowControl w:val="0"/>
              <w:spacing w:before="0" w:after="0"/>
              <w:ind w:left="57" w:right="57" w:hanging="10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f7"/>
              <w:widowControl w:val="0"/>
              <w:spacing w:before="0" w:after="0"/>
              <w:ind w:hanging="10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f7"/>
              <w:widowControl w:val="0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TableParagraph"/>
              <w:widowControl w:val="0"/>
              <w:spacing w:line="240" w:lineRule="auto"/>
              <w:ind w:left="57" w:right="57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Вид</w:t>
            </w:r>
          </w:p>
          <w:p w:rsidR="0048301D" w:rsidRDefault="00885FC6">
            <w:pPr>
              <w:pStyle w:val="TableParagraph"/>
              <w:widowControl w:val="0"/>
              <w:spacing w:line="240" w:lineRule="auto"/>
              <w:ind w:left="57" w:right="57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функциональной</w:t>
            </w:r>
          </w:p>
          <w:p w:rsidR="0048301D" w:rsidRDefault="00885FC6">
            <w:pPr>
              <w:pStyle w:val="af7"/>
              <w:widowControl w:val="0"/>
              <w:spacing w:before="0" w:after="0"/>
              <w:ind w:left="57" w:right="57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зоны</w:t>
            </w:r>
          </w:p>
        </w:tc>
      </w:tr>
      <w:tr w:rsidR="0048301D">
        <w:trPr>
          <w:trHeight w:val="56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f8"/>
              <w:widowControl w:val="0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lang w:eastAsia="ru-RU" w:bidi="ar-SA"/>
              </w:rPr>
            </w:pPr>
            <w:r>
              <w:rPr>
                <w:rStyle w:val="20"/>
                <w:rFonts w:ascii="Times New Roman" w:eastAsia="Times New Roman" w:hAnsi="Times New Roman" w:cs="Times New Roman"/>
                <w:kern w:val="2"/>
                <w:lang w:eastAsia="ru-RU" w:bidi="ar-SA"/>
              </w:rPr>
              <w:t>Дом культуры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f9"/>
              <w:widowControl w:val="0"/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Style w:val="20"/>
                <w:kern w:val="0"/>
                <w:sz w:val="24"/>
                <w:szCs w:val="24"/>
                <w:lang w:eastAsia="en-US"/>
              </w:rPr>
              <w:t>Болошнево</w:t>
            </w:r>
            <w:proofErr w:type="spellEnd"/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TableParagraph"/>
              <w:widowControl w:val="0"/>
              <w:snapToGrid w:val="0"/>
              <w:spacing w:line="240" w:lineRule="auto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111"/>
              <w:widowControl w:val="0"/>
              <w:snapToGrid w:val="0"/>
              <w:ind w:left="57" w:right="-1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Жилые зоны</w:t>
            </w:r>
          </w:p>
        </w:tc>
      </w:tr>
      <w:tr w:rsidR="0048301D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f8"/>
              <w:widowControl w:val="0"/>
              <w:ind w:left="57"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ar-SA"/>
              </w:rPr>
              <w:t>Дом культуры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f9"/>
              <w:widowControl w:val="0"/>
              <w:spacing w:after="0"/>
              <w:ind w:left="57"/>
              <w:contextualSpacing/>
            </w:pPr>
            <w:r>
              <w:t>д. Наумово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TableParagraph"/>
              <w:widowControl w:val="0"/>
              <w:snapToGrid w:val="0"/>
              <w:spacing w:line="240" w:lineRule="auto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111"/>
              <w:widowControl w:val="0"/>
              <w:snapToGrid w:val="0"/>
              <w:ind w:left="57" w:right="-1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Зона специализированной общественной застройки</w:t>
            </w:r>
          </w:p>
        </w:tc>
      </w:tr>
    </w:tbl>
    <w:p w:rsidR="0048301D" w:rsidRDefault="00885FC6">
      <w:pPr>
        <w:spacing w:before="0" w:after="0"/>
        <w:ind w:firstLine="567"/>
        <w:contextualSpacing/>
        <w:jc w:val="both"/>
      </w:pPr>
      <w:r>
        <w:rPr>
          <w:sz w:val="28"/>
          <w:szCs w:val="28"/>
          <w:lang w:eastAsia="ar-SA"/>
        </w:rPr>
        <w:t xml:space="preserve">Планируемые объекты местного </w:t>
      </w:r>
      <w:r>
        <w:rPr>
          <w:sz w:val="28"/>
          <w:szCs w:val="28"/>
        </w:rPr>
        <w:t>значения отображены на карте планируемого размещения объектов местного значения поселения.</w:t>
      </w:r>
    </w:p>
    <w:p w:rsidR="0048301D" w:rsidRDefault="0048301D">
      <w:pPr>
        <w:pStyle w:val="a7"/>
      </w:pPr>
    </w:p>
    <w:p w:rsidR="0048301D" w:rsidRDefault="00885FC6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48301D" w:rsidRDefault="0048301D">
      <w:pPr>
        <w:pStyle w:val="a7"/>
        <w:rPr>
          <w:color w:val="auto"/>
          <w:szCs w:val="28"/>
        </w:rPr>
      </w:pPr>
    </w:p>
    <w:p w:rsidR="0048301D" w:rsidRDefault="00885FC6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48301D" w:rsidRDefault="00885FC6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48301D" w:rsidRDefault="00885FC6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Листвянское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Рязанского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48301D" w:rsidRDefault="0048301D">
      <w:pPr>
        <w:pStyle w:val="a7"/>
        <w:rPr>
          <w:color w:val="auto"/>
        </w:rPr>
      </w:pPr>
    </w:p>
    <w:p w:rsidR="0048301D" w:rsidRDefault="00885FC6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48301D" w:rsidRDefault="0048301D">
      <w:pPr>
        <w:pStyle w:val="a7"/>
        <w:rPr>
          <w:color w:val="auto"/>
        </w:rPr>
      </w:pPr>
    </w:p>
    <w:p w:rsidR="0048301D" w:rsidRDefault="00885FC6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Листвянское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48301D" w:rsidRDefault="00885FC6">
      <w:pPr>
        <w:pStyle w:val="a7"/>
        <w:rPr>
          <w:szCs w:val="28"/>
        </w:rPr>
      </w:pPr>
      <w:r>
        <w:lastRenderedPageBreak/>
        <w:t>- рациональные формы расселения населения;</w:t>
      </w:r>
    </w:p>
    <w:p w:rsidR="0048301D" w:rsidRDefault="00885FC6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48301D" w:rsidRDefault="00885FC6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48301D" w:rsidRDefault="00885FC6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48301D" w:rsidRDefault="00885FC6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48301D" w:rsidRDefault="00885FC6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48301D" w:rsidRDefault="00885FC6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Листвянское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622"/>
        <w:gridCol w:w="6917"/>
      </w:tblGrid>
      <w:tr w:rsidR="0048301D">
        <w:trPr>
          <w:trHeight w:val="497"/>
          <w:tblHeader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Код</w:t>
            </w:r>
          </w:p>
          <w:p w:rsidR="0048301D" w:rsidRDefault="00885FC6">
            <w:pPr>
              <w:pStyle w:val="ae"/>
              <w:widowControl w:val="0"/>
            </w:pPr>
            <w:r>
              <w:t>объекта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Условное</w:t>
            </w:r>
          </w:p>
          <w:p w:rsidR="0048301D" w:rsidRDefault="00885FC6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6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48301D">
        <w:trPr>
          <w:trHeight w:val="609"/>
          <w:tblHeader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48301D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48301D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6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48301D">
            <w:pPr>
              <w:widowControl w:val="0"/>
              <w:snapToGrid w:val="0"/>
              <w:rPr>
                <w:bCs/>
              </w:rPr>
            </w:pPr>
          </w:p>
        </w:tc>
      </w:tr>
      <w:tr w:rsidR="0048301D">
        <w:trPr>
          <w:trHeight w:val="68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701010101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75565</wp:posOffset>
                      </wp:positionV>
                      <wp:extent cx="711835" cy="28003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1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11.35pt;margin-top:5.95pt;width:55.95pt;height:21.95pt;v-text-anchor:top">
                      <w10:wrap type="non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701010301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64770</wp:posOffset>
                      </wp:positionV>
                      <wp:extent cx="711835" cy="280035"/>
                      <wp:effectExtent l="0" t="0" r="0" b="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2.1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10.5pt;margin-top:5.1pt;width:55.95pt;height:21.95pt;v-text-anchor:top">
                      <w10:wrap type="none"/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701010302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60960</wp:posOffset>
                      </wp:positionV>
                      <wp:extent cx="711835" cy="280035"/>
                      <wp:effectExtent l="0" t="0" r="0" b="0"/>
                      <wp:wrapNone/>
                      <wp:docPr id="5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2.2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ca7af5" stroked="t" style="position:absolute;margin-left:10.5pt;margin-top:4.8pt;width:55.95pt;height:21.95pt;v-text-anchor:top">
                      <w10:wrap type="none"/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701010401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86360</wp:posOffset>
                      </wp:positionV>
                      <wp:extent cx="711835" cy="280035"/>
                      <wp:effectExtent l="0" t="0" r="0" b="0"/>
                      <wp:wrapNone/>
                      <wp:docPr id="7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3.1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10.5pt;margin-top:6.8pt;width:55.95pt;height:21.95pt;v-text-anchor:top">
                      <w10:wrap type="none"/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701010404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122555</wp:posOffset>
                      </wp:positionV>
                      <wp:extent cx="711835" cy="280035"/>
                      <wp:effectExtent l="0" t="0" r="0" b="0"/>
                      <wp:wrapNone/>
                      <wp:docPr id="9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3.3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10.75pt;margin-top:9.65pt;width:55.95pt;height:21.95pt;v-text-anchor:top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701010405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93345</wp:posOffset>
                      </wp:positionV>
                      <wp:extent cx="711835" cy="280035"/>
                      <wp:effectExtent l="0" t="0" r="0" b="0"/>
                      <wp:wrapNone/>
                      <wp:docPr id="1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3.4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11.05pt;margin-top:7.35pt;width:55.95pt;height:21.95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7010105</w:t>
            </w:r>
            <w:r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104140</wp:posOffset>
                      </wp:positionV>
                      <wp:extent cx="711835" cy="280035"/>
                      <wp:effectExtent l="0" t="0" r="0" b="0"/>
                      <wp:wrapNone/>
                      <wp:docPr id="13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4.1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aaff00" stroked="t" style="position:absolute;margin-left:11.05pt;margin-top:8.2pt;width:55.95pt;height:21.95pt;v-text-anchor:top">
                      <w10:wrap type="none"/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701010500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71755</wp:posOffset>
                      </wp:positionV>
                      <wp:extent cx="711835" cy="280035"/>
                      <wp:effectExtent l="0" t="0" r="0" b="0"/>
                      <wp:wrapNone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4.2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11.6pt;margin-top:5.65pt;width:55.95pt;height:21.95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701010503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11835" cy="280035"/>
                      <wp:effectExtent l="0" t="0" r="0" b="0"/>
                      <wp:wrapNone/>
                      <wp:docPr id="1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4.4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11.05pt;margin-top:7.95pt;width:55.95pt;height:21.95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110"/>
              <w:widowControl w:val="0"/>
            </w:pPr>
            <w:r>
              <w:lastRenderedPageBreak/>
              <w:t>7010105</w:t>
            </w:r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11835" cy="280035"/>
                      <wp:effectExtent l="0" t="0" r="0" b="0"/>
                      <wp:wrapNone/>
                      <wp:docPr id="1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4.5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d0e0b0" stroked="t" style="position:absolute;margin-left:11.05pt;margin-top:7.95pt;width:55.95pt;height:21.95pt;v-text-anchor:top">
                      <w10:wrap type="none"/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4.5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111"/>
              <w:widowControl w:val="0"/>
            </w:pPr>
            <w:r>
              <w:t>Зона сельскохозяйственных угодий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110"/>
              <w:widowControl w:val="0"/>
            </w:pPr>
            <w:r>
              <w:t>70101060</w:t>
            </w:r>
            <w:r>
              <w:rPr>
                <w:lang w:val="en-US"/>
              </w:rPr>
              <w:t>0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78105</wp:posOffset>
                      </wp:positionV>
                      <wp:extent cx="706120" cy="287655"/>
                      <wp:effectExtent l="0" t="0" r="0" b="0"/>
                      <wp:wrapTopAndBottom/>
                      <wp:docPr id="21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28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widowControl w:val="0"/>
                                  </w:pPr>
                                  <w:r>
                                    <w:t>5.0</w:t>
                                  </w:r>
                                </w:p>
                                <w:p w:rsidR="0048301D" w:rsidRDefault="0048301D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54958d" stroked="t" style="position:absolute;margin-left:9.9pt;margin-top:6.15pt;width:55.5pt;height:22.55pt;v-text-anchor:top">
                      <w10:wrap type="square"/>
                      <v:fill o:detectmouseclick="t" type="solid" color2="#ab6a72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ind w:left="0" w:right="0" w:hanging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5.0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111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рекреационного назначения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11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11835" cy="280035"/>
                      <wp:effectExtent l="0" t="0" r="0" b="0"/>
                      <wp:wrapNone/>
                      <wp:docPr id="2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5.2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f57a7a" stroked="t" style="position:absolute;margin-left:11.05pt;margin-top:7.95pt;width:55.95pt;height:21.95pt;v-text-anchor:top">
                      <w10:wrap type="none"/>
                      <v:fill o:detectmouseclick="t" type="solid" color2="#0a858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отдыха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7010106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11835" cy="280035"/>
                      <wp:effectExtent l="0" t="0" r="0" b="0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5.3</w:t>
                                  </w:r>
                                </w:p>
                                <w:p w:rsidR="0048301D" w:rsidRDefault="0048301D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fillcolor="#1c8f69" stroked="t" style="position:absolute;margin-left:11.05pt;margin-top:7.95pt;width:55.95pt;height:21.95pt;v-text-anchor:top">
                      <w10:wrap type="none"/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48301D">
        <w:trPr>
          <w:trHeight w:val="680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701010701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widowControl w:val="0"/>
              <w:snapToGrid w:val="0"/>
              <w:spacing w:before="0" w:after="0"/>
              <w:contextualSpacing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30480</wp:posOffset>
                      </wp:positionV>
                      <wp:extent cx="711835" cy="325120"/>
                      <wp:effectExtent l="0" t="0" r="0" b="0"/>
                      <wp:wrapNone/>
                      <wp:docPr id="27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324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301D" w:rsidRDefault="00885FC6">
                                  <w:pPr>
                                    <w:pStyle w:val="af4"/>
                                    <w:widowControl w:val="0"/>
                                    <w:contextualSpacing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23120" tIns="77400" rIns="123120" bIns="774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12.1pt;margin-top:2.4pt;width:55.95pt;height:25.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270" cy="379095"/>
                  <wp:effectExtent l="0" t="0" r="0" b="0"/>
                  <wp:docPr id="2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583" t="-13089" r="-6583" b="-13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48301D" w:rsidRDefault="00885FC6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48301D" w:rsidRDefault="0048301D">
      <w:pPr>
        <w:pStyle w:val="a7"/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Жилые зоны.</w:t>
      </w:r>
    </w:p>
    <w:p w:rsidR="0048301D" w:rsidRDefault="00885FC6">
      <w:pPr>
        <w:pStyle w:val="a7"/>
        <w:rPr>
          <w:b/>
          <w:bCs/>
        </w:rPr>
      </w:pPr>
      <w:r>
        <w:rPr>
          <w:color w:val="auto"/>
          <w:szCs w:val="28"/>
        </w:rPr>
        <w:t xml:space="preserve">Жилые зоны предназначены для размещения различных видов жилых домов,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 и не оказывающих негативного воздействия на окружающую среду. </w:t>
      </w:r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Многофункциональная общественно-деловая зона.</w:t>
      </w: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rPr>
          <w:rFonts w:eastAsia="XO Thames;Times New Roman"/>
          <w:iCs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/>
          <w:iCs/>
          <w:szCs w:val="28"/>
        </w:rPr>
        <w:t xml:space="preserve">торговли и общественного питания, гостиниц, а также необходимых объектов инженерной и транспортной инфраструктуры. </w:t>
      </w:r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a7"/>
      </w:pPr>
      <w:r>
        <w:rPr>
          <w:rStyle w:val="20"/>
          <w:b/>
          <w:bCs/>
        </w:rPr>
        <w:t>Зона специализированной общественной застройки.</w:t>
      </w: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rPr>
          <w:rStyle w:val="20"/>
          <w:szCs w:val="28"/>
          <w:lang w:eastAsia="ar-SA"/>
        </w:rPr>
        <w:t>Зона специализированной общественной застройки</w:t>
      </w:r>
      <w:r>
        <w:rPr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объектов, а также </w:t>
      </w:r>
      <w:r>
        <w:rPr>
          <w:rFonts w:eastAsia="XO Thames;Times New Roman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szCs w:val="28"/>
          <w:lang w:eastAsia="ar-SA"/>
        </w:rPr>
        <w:t>.</w:t>
      </w:r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Производственная зона.</w:t>
      </w:r>
    </w:p>
    <w:p w:rsidR="0048301D" w:rsidRDefault="00885FC6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8301D" w:rsidRDefault="0048301D">
      <w:pPr>
        <w:pStyle w:val="a7"/>
      </w:pPr>
    </w:p>
    <w:p w:rsidR="0048301D" w:rsidRDefault="0048301D">
      <w:pPr>
        <w:pStyle w:val="a7"/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Зона инженерной инфраструктуры.</w:t>
      </w:r>
    </w:p>
    <w:p w:rsidR="0048301D" w:rsidRDefault="00885FC6">
      <w:pPr>
        <w:numPr>
          <w:ilvl w:val="0"/>
          <w:numId w:val="2"/>
        </w:numPr>
        <w:ind w:firstLine="567"/>
        <w:jc w:val="both"/>
      </w:pPr>
      <w:r>
        <w:rPr>
          <w:sz w:val="28"/>
          <w:szCs w:val="28"/>
        </w:rPr>
        <w:t xml:space="preserve">Зона инженерной инфраструктуры предназначена для </w:t>
      </w:r>
      <w:r>
        <w:rPr>
          <w:rFonts w:eastAsia="Calibri"/>
          <w:sz w:val="28"/>
          <w:szCs w:val="28"/>
        </w:rPr>
        <w:t>размещения</w:t>
      </w:r>
      <w:r>
        <w:rPr>
          <w:sz w:val="28"/>
          <w:szCs w:val="28"/>
        </w:rPr>
        <w:t xml:space="preserve">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сооружений.</w:t>
      </w:r>
    </w:p>
    <w:p w:rsidR="0048301D" w:rsidRDefault="0048301D">
      <w:pPr>
        <w:pStyle w:val="a7"/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Зона транспортной инфраструктуры.</w:t>
      </w: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дорожного сервиса, автомобильного, железнодорожного, воздушного и трубопроводного транспорта, объектов улично-дорожной сети.</w:t>
      </w:r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Зона садоводческих или огороднических некоммерческих товариществ.</w:t>
      </w:r>
    </w:p>
    <w:p w:rsidR="0048301D" w:rsidRDefault="00885FC6">
      <w:pPr>
        <w:pStyle w:val="a7"/>
      </w:pPr>
      <w:r>
        <w:t>Зона садоводческих или огороднических некоммерческих товарище</w:t>
      </w:r>
      <w:proofErr w:type="gramStart"/>
      <w:r>
        <w:t>ств пр</w:t>
      </w:r>
      <w:proofErr w:type="gramEnd"/>
      <w:r>
        <w:t>едназначена для ведения огородничества, ведения садоводства, отдыха и выращивания гражданами для собственных нужд сельскохозяйственных культур.</w:t>
      </w:r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Зоны сельскохозяйственного использования.</w:t>
      </w: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Производственная зона сельскохозяйственных предприятий.</w:t>
      </w: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48301D" w:rsidRDefault="0048301D">
      <w:pPr>
        <w:pStyle w:val="a7"/>
      </w:pPr>
    </w:p>
    <w:p w:rsidR="0048301D" w:rsidRDefault="00885FC6">
      <w:pPr>
        <w:spacing w:before="0" w:after="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Зона сельскохозяйственных угодий.</w:t>
      </w:r>
    </w:p>
    <w:p w:rsidR="0048301D" w:rsidRDefault="00885FC6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сельскохозяйственных угодий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- пашни, сенокосы, пастбища, земли занятые многолетними насаждениями (садами). </w:t>
      </w:r>
    </w:p>
    <w:p w:rsidR="0048301D" w:rsidRDefault="0048301D">
      <w:p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48301D" w:rsidRDefault="00885FC6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Зоны </w:t>
      </w:r>
      <w:r>
        <w:rPr>
          <w:rFonts w:eastAsia="Calibri"/>
          <w:b/>
          <w:bCs/>
          <w:sz w:val="28"/>
          <w:szCs w:val="28"/>
        </w:rPr>
        <w:t>рекреационного назначения</w:t>
      </w:r>
    </w:p>
    <w:p w:rsidR="0048301D" w:rsidRDefault="00885FC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Зоны ре</w:t>
      </w:r>
      <w:r w:rsidR="00DF7950">
        <w:rPr>
          <w:sz w:val="28"/>
          <w:szCs w:val="28"/>
        </w:rPr>
        <w:t>креационного назначения выделены</w:t>
      </w:r>
      <w:r>
        <w:rPr>
          <w:sz w:val="28"/>
          <w:szCs w:val="28"/>
        </w:rPr>
        <w:t xml:space="preserve">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 формирования озелененных участков на территории населенных пунктов. </w:t>
      </w:r>
    </w:p>
    <w:p w:rsidR="0048301D" w:rsidRDefault="0048301D">
      <w:pPr>
        <w:pStyle w:val="a7"/>
        <w:numPr>
          <w:ilvl w:val="0"/>
          <w:numId w:val="2"/>
        </w:numPr>
        <w:ind w:firstLine="567"/>
        <w:rPr>
          <w:b/>
          <w:bCs/>
          <w:szCs w:val="28"/>
        </w:rPr>
      </w:pP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rPr>
          <w:b/>
          <w:bCs/>
          <w:szCs w:val="28"/>
        </w:rPr>
        <w:t>Зона отдыха.</w:t>
      </w: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t>Зона отдыха предназначена для размещения санаториев, профилакториев, бальнеологических лечебниц, грязелечебниц, лечебно-оздоровительных лагерей, баз отдыха обеспечивающих оказание услуги по лечению и оздоровлению населения.</w:t>
      </w:r>
    </w:p>
    <w:p w:rsidR="0048301D" w:rsidRDefault="0048301D">
      <w:pPr>
        <w:pStyle w:val="a7"/>
        <w:rPr>
          <w:szCs w:val="28"/>
        </w:rPr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Зона лесов.</w:t>
      </w:r>
    </w:p>
    <w:p w:rsidR="0048301D" w:rsidRDefault="00885FC6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48301D" w:rsidRDefault="0048301D">
      <w:pPr>
        <w:pStyle w:val="a7"/>
        <w:rPr>
          <w:b/>
          <w:bCs/>
        </w:rPr>
      </w:pPr>
    </w:p>
    <w:p w:rsidR="0048301D" w:rsidRDefault="00885FC6">
      <w:pPr>
        <w:pStyle w:val="a7"/>
        <w:rPr>
          <w:b/>
          <w:bCs/>
        </w:rPr>
      </w:pPr>
      <w:r>
        <w:rPr>
          <w:b/>
          <w:bCs/>
        </w:rPr>
        <w:t>Зона кладбищ.</w:t>
      </w:r>
    </w:p>
    <w:p w:rsidR="0048301D" w:rsidRDefault="00885FC6">
      <w:pPr>
        <w:pStyle w:val="a7"/>
        <w:numPr>
          <w:ilvl w:val="0"/>
          <w:numId w:val="2"/>
        </w:numPr>
        <w:ind w:firstLine="567"/>
      </w:pPr>
      <w: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48301D" w:rsidRDefault="0048301D">
      <w:pPr>
        <w:pStyle w:val="a7"/>
        <w:numPr>
          <w:ilvl w:val="0"/>
          <w:numId w:val="2"/>
        </w:numPr>
        <w:ind w:firstLine="567"/>
      </w:pPr>
    </w:p>
    <w:p w:rsidR="0048301D" w:rsidRDefault="00885FC6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Листвянское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5"/>
        <w:gridCol w:w="2006"/>
      </w:tblGrid>
      <w:tr w:rsidR="0048301D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48301D" w:rsidRDefault="00885FC6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885FC6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48301D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48301D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48301D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8301D" w:rsidRDefault="0048301D">
            <w:pPr>
              <w:widowControl w:val="0"/>
              <w:snapToGrid w:val="0"/>
              <w:rPr>
                <w:bCs/>
              </w:rPr>
            </w:pP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532,76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2,08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6,34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48,99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1,48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473,12</w:t>
            </w:r>
          </w:p>
        </w:tc>
      </w:tr>
      <w:tr w:rsidR="0048301D">
        <w:trPr>
          <w:trHeight w:hRule="exact" w:val="6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48301D">
            <w:pPr>
              <w:pStyle w:val="ae"/>
              <w:widowControl w:val="0"/>
              <w:rPr>
                <w:color w:val="auto"/>
              </w:rPr>
            </w:pPr>
          </w:p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214,99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9 640,22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201,8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10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15,82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11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Зоны рекреационного назначения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7,6</w:t>
            </w:r>
          </w:p>
        </w:tc>
      </w:tr>
      <w:tr w:rsidR="0048301D">
        <w:trPr>
          <w:trHeight w:hRule="exact" w:val="3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12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отдыха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20,2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13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228,52</w:t>
            </w:r>
          </w:p>
        </w:tc>
      </w:tr>
      <w:tr w:rsidR="0048301D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</w:pPr>
            <w:r>
              <w:t>14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8301D" w:rsidRDefault="00885FC6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10,42</w:t>
            </w:r>
          </w:p>
        </w:tc>
      </w:tr>
    </w:tbl>
    <w:p w:rsidR="0048301D" w:rsidRDefault="0048301D">
      <w:pPr>
        <w:pStyle w:val="a7"/>
      </w:pPr>
    </w:p>
    <w:p w:rsidR="0048301D" w:rsidRDefault="0048301D">
      <w:pPr>
        <w:pStyle w:val="a7"/>
      </w:pPr>
    </w:p>
    <w:p w:rsidR="0048301D" w:rsidRDefault="0048301D">
      <w:pPr>
        <w:pStyle w:val="a7"/>
      </w:pPr>
    </w:p>
    <w:p w:rsidR="0048301D" w:rsidRDefault="0048301D">
      <w:pPr>
        <w:pStyle w:val="a7"/>
      </w:pPr>
    </w:p>
    <w:p w:rsidR="0048301D" w:rsidRDefault="00885FC6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48301D" w:rsidRDefault="0048301D">
      <w:pPr>
        <w:pStyle w:val="a7"/>
        <w:rPr>
          <w:color w:val="auto"/>
          <w:szCs w:val="28"/>
        </w:rPr>
      </w:pPr>
    </w:p>
    <w:p w:rsidR="0048301D" w:rsidRDefault="00885FC6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Листвянское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Рязанского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значения.</w:t>
      </w:r>
    </w:p>
    <w:sectPr w:rsidR="0048301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18" w:rsidRDefault="007E6918">
      <w:pPr>
        <w:spacing w:before="0" w:after="0"/>
      </w:pPr>
      <w:r>
        <w:separator/>
      </w:r>
    </w:p>
  </w:endnote>
  <w:endnote w:type="continuationSeparator" w:id="0">
    <w:p w:rsidR="007E6918" w:rsidRDefault="007E69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1D" w:rsidRDefault="0048301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1D" w:rsidRDefault="0048301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18" w:rsidRDefault="007E6918">
      <w:pPr>
        <w:spacing w:before="0" w:after="0"/>
      </w:pPr>
      <w:r>
        <w:separator/>
      </w:r>
    </w:p>
  </w:footnote>
  <w:footnote w:type="continuationSeparator" w:id="0">
    <w:p w:rsidR="007E6918" w:rsidRDefault="007E69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1D" w:rsidRDefault="00885FC6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8F5E3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1D" w:rsidRDefault="0048301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7CD4"/>
    <w:multiLevelType w:val="multilevel"/>
    <w:tmpl w:val="5448B3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D87870"/>
    <w:multiLevelType w:val="multilevel"/>
    <w:tmpl w:val="5FDE5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301D"/>
    <w:rsid w:val="0048301D"/>
    <w:rsid w:val="007E6918"/>
    <w:rsid w:val="00845447"/>
    <w:rsid w:val="00885FC6"/>
    <w:rsid w:val="008F5E35"/>
    <w:rsid w:val="00D27134"/>
    <w:rsid w:val="00D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7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Liberation Serif;Times New Roma" w:hAnsi="Liberation Serif;Times New Roma" w:cs="Arial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111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7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Liberation Serif;Times New Roma" w:hAnsi="Liberation Serif;Times New Roma" w:cs="Arial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111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1517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77</cp:revision>
  <dcterms:created xsi:type="dcterms:W3CDTF">2022-03-01T17:19:00Z</dcterms:created>
  <dcterms:modified xsi:type="dcterms:W3CDTF">2022-07-21T11:46:00Z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