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B9" w:rsidRDefault="00CB2D5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0B9" w:rsidRDefault="00CB2D5B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E60B9" w:rsidRDefault="00CB2D5B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E60B9" w:rsidRDefault="005E60B9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5E60B9" w:rsidRDefault="005E60B9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5E60B9" w:rsidRDefault="00CB2D5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E60B9" w:rsidRDefault="005E60B9">
      <w:pPr>
        <w:tabs>
          <w:tab w:val="left" w:pos="709"/>
        </w:tabs>
        <w:jc w:val="center"/>
        <w:rPr>
          <w:sz w:val="28"/>
        </w:rPr>
      </w:pPr>
    </w:p>
    <w:p w:rsidR="005E60B9" w:rsidRDefault="005E60B9">
      <w:pPr>
        <w:tabs>
          <w:tab w:val="left" w:pos="709"/>
        </w:tabs>
        <w:jc w:val="center"/>
        <w:rPr>
          <w:sz w:val="28"/>
        </w:rPr>
      </w:pPr>
    </w:p>
    <w:p w:rsidR="005E60B9" w:rsidRDefault="009006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августа </w:t>
      </w:r>
      <w:r w:rsidR="00CB2D5B">
        <w:rPr>
          <w:sz w:val="28"/>
        </w:rPr>
        <w:t xml:space="preserve">2022 г.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CB2D5B">
        <w:rPr>
          <w:sz w:val="28"/>
        </w:rPr>
        <w:t xml:space="preserve"> № </w:t>
      </w:r>
      <w:r>
        <w:rPr>
          <w:sz w:val="28"/>
        </w:rPr>
        <w:t>424-п</w:t>
      </w:r>
    </w:p>
    <w:p w:rsidR="005E60B9" w:rsidRDefault="005E60B9">
      <w:pPr>
        <w:tabs>
          <w:tab w:val="left" w:pos="709"/>
        </w:tabs>
        <w:jc w:val="both"/>
        <w:rPr>
          <w:sz w:val="28"/>
        </w:rPr>
      </w:pPr>
    </w:p>
    <w:tbl>
      <w:tblPr>
        <w:tblW w:w="9910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9910"/>
      </w:tblGrid>
      <w:tr w:rsidR="005E60B9">
        <w:trPr>
          <w:trHeight w:val="1515"/>
        </w:trPr>
        <w:tc>
          <w:tcPr>
            <w:tcW w:w="9910" w:type="dxa"/>
          </w:tcPr>
          <w:p w:rsidR="005E60B9" w:rsidRDefault="005E60B9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yellow"/>
              </w:rPr>
            </w:pPr>
          </w:p>
          <w:p w:rsidR="005E60B9" w:rsidRDefault="00CB2D5B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Ольховское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поселение </w:t>
            </w:r>
            <w:proofErr w:type="spellStart"/>
            <w:r>
              <w:rPr>
                <w:sz w:val="28"/>
              </w:rPr>
              <w:t>Шацкого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>Рязанской области</w:t>
            </w:r>
          </w:p>
        </w:tc>
      </w:tr>
      <w:tr w:rsidR="005E60B9">
        <w:tc>
          <w:tcPr>
            <w:tcW w:w="9910" w:type="dxa"/>
          </w:tcPr>
          <w:p w:rsidR="005E60B9" w:rsidRDefault="00CB2D5B">
            <w:pPr>
              <w:widowControl w:val="0"/>
              <w:shd w:val="clear" w:color="FFFFFF" w:fill="FFFFFF" w:themeFill="background1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области о</w:t>
            </w:r>
            <w:r>
              <w:rPr>
                <w:sz w:val="28"/>
              </w:rPr>
              <w:t>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</w:t>
            </w:r>
            <w:r>
              <w:rPr>
                <w:sz w:val="28"/>
              </w:rPr>
              <w:t xml:space="preserve">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градостроите</w:t>
            </w:r>
            <w:r>
              <w:rPr>
                <w:sz w:val="28"/>
              </w:rPr>
              <w:t>льства Рязанской области ПОСТАНОВЛЯЕТ:</w:t>
            </w:r>
          </w:p>
          <w:p w:rsidR="005E60B9" w:rsidRDefault="00CB2D5B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Ольховское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поселение </w:t>
            </w:r>
            <w:proofErr w:type="spellStart"/>
            <w:r>
              <w:rPr>
                <w:sz w:val="28"/>
              </w:rPr>
              <w:t>Шацкого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5E60B9" w:rsidRDefault="00CB2D5B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9006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5E60B9" w:rsidRDefault="00CB2D5B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генерального плана направлять в государственное казе</w:t>
            </w:r>
            <w:r>
              <w:rPr>
                <w:sz w:val="28"/>
              </w:rPr>
              <w:t xml:space="preserve">нное учреждение Рязанской области «Центр градостроительного развития Рязанской области»                 в течение </w:t>
            </w:r>
            <w:r>
              <w:rPr>
                <w:sz w:val="28"/>
              </w:rPr>
              <w:t>десяти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5E60B9" w:rsidRDefault="00CB2D5B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</w:t>
            </w:r>
            <w:r>
              <w:rPr>
                <w:sz w:val="28"/>
                <w:szCs w:val="28"/>
              </w:rPr>
              <w:t xml:space="preserve"> Рязанской области организовать рассмотрение проекта </w:t>
            </w:r>
            <w:r>
              <w:rPr>
                <w:sz w:val="28"/>
                <w:szCs w:val="28"/>
              </w:rPr>
              <w:lastRenderedPageBreak/>
              <w:t>генерального плана на общественных обсуждениях (публичных слушаниях)                  в установленный законодательством срок и порядке.</w:t>
            </w:r>
          </w:p>
          <w:p w:rsidR="005E60B9" w:rsidRDefault="00CB2D5B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</w:t>
            </w:r>
            <w:r>
              <w:rPr>
                <w:sz w:val="28"/>
              </w:rPr>
              <w:t xml:space="preserve">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5E60B9" w:rsidRDefault="00CB2D5B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</w:t>
            </w:r>
            <w:r>
              <w:rPr>
                <w:sz w:val="28"/>
              </w:rPr>
              <w:t xml:space="preserve">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5E60B9" w:rsidRDefault="00CB2D5B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Шацкий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Ольховское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</w:t>
            </w:r>
            <w:r>
              <w:rPr>
                <w:sz w:val="28"/>
              </w:rPr>
              <w:t>области обеспечить размещение настоящего постановления на официальном сайте муниципального образования в сети «</w:t>
            </w:r>
            <w:r>
              <w:rPr>
                <w:sz w:val="28"/>
              </w:rPr>
              <w:t>Интернет», публикацию в средствах массовой информации.</w:t>
            </w:r>
          </w:p>
          <w:p w:rsidR="005E60B9" w:rsidRDefault="00CB2D5B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Признать утратившим силу постановление главного управления архитектуры и градостроительства Рязанской области</w:t>
            </w:r>
            <w:r>
              <w:rPr>
                <w:spacing w:val="-6"/>
                <w:sz w:val="28"/>
                <w:szCs w:val="28"/>
              </w:rPr>
              <w:t xml:space="preserve"> от 27.08.2020 № 569-п              «О подготовке проекта Генерального плана муниципального </w:t>
            </w:r>
            <w:r>
              <w:rPr>
                <w:spacing w:val="-6"/>
                <w:sz w:val="28"/>
                <w:szCs w:val="28"/>
              </w:rPr>
              <w:t xml:space="preserve">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Ольховское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  <w:szCs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</w:t>
            </w:r>
            <w:r>
              <w:rPr>
                <w:sz w:val="28"/>
                <w:szCs w:val="28"/>
              </w:rPr>
              <w:t>области</w:t>
            </w:r>
            <w:r>
              <w:rPr>
                <w:spacing w:val="-6"/>
                <w:sz w:val="28"/>
                <w:szCs w:val="28"/>
              </w:rPr>
              <w:t>».</w:t>
            </w:r>
          </w:p>
          <w:p w:rsidR="005E60B9" w:rsidRDefault="00CB2D5B">
            <w:pPr>
              <w:pStyle w:val="ConsPlusNormal1"/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                   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</w:p>
          <w:p w:rsidR="005E60B9" w:rsidRDefault="005E60B9">
            <w:pPr>
              <w:widowControl w:val="0"/>
              <w:shd w:val="clear" w:color="FFFFFF" w:fill="FFFFFF" w:themeFill="background1"/>
              <w:ind w:left="142"/>
              <w:jc w:val="both"/>
              <w:rPr>
                <w:sz w:val="28"/>
                <w:highlight w:val="yellow"/>
              </w:rPr>
            </w:pPr>
          </w:p>
          <w:p w:rsidR="005E60B9" w:rsidRDefault="005E60B9">
            <w:pPr>
              <w:widowControl w:val="0"/>
              <w:shd w:val="clear" w:color="FFFFFF" w:fill="FFFFFF" w:themeFill="background1"/>
              <w:ind w:left="142"/>
              <w:jc w:val="both"/>
              <w:rPr>
                <w:sz w:val="28"/>
                <w:highlight w:val="yellow"/>
              </w:rPr>
            </w:pPr>
          </w:p>
        </w:tc>
      </w:tr>
      <w:tr w:rsidR="005E60B9">
        <w:tc>
          <w:tcPr>
            <w:tcW w:w="9910" w:type="dxa"/>
          </w:tcPr>
          <w:p w:rsidR="005E60B9" w:rsidRDefault="00CB2D5B">
            <w:pPr>
              <w:widowControl w:val="0"/>
              <w:tabs>
                <w:tab w:val="left" w:pos="709"/>
              </w:tabs>
              <w:rPr>
                <w:sz w:val="28"/>
                <w:highlight w:val="yellow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5E60B9" w:rsidRDefault="005E60B9">
            <w:pPr>
              <w:pStyle w:val="24"/>
              <w:widowControl w:val="0"/>
              <w:tabs>
                <w:tab w:val="left" w:pos="709"/>
              </w:tabs>
              <w:jc w:val="left"/>
              <w:rPr>
                <w:highlight w:val="yellow"/>
              </w:rPr>
            </w:pPr>
          </w:p>
          <w:p w:rsidR="005E60B9" w:rsidRDefault="005E60B9">
            <w:pPr>
              <w:widowControl w:val="0"/>
              <w:tabs>
                <w:tab w:val="left" w:pos="709"/>
              </w:tabs>
              <w:rPr>
                <w:sz w:val="28"/>
                <w:highlight w:val="yellow"/>
              </w:rPr>
            </w:pPr>
          </w:p>
          <w:p w:rsidR="005E60B9" w:rsidRDefault="005E60B9">
            <w:pPr>
              <w:widowControl w:val="0"/>
              <w:tabs>
                <w:tab w:val="left" w:pos="709"/>
              </w:tabs>
              <w:rPr>
                <w:sz w:val="28"/>
                <w:highlight w:val="yellow"/>
              </w:rPr>
            </w:pPr>
          </w:p>
          <w:p w:rsidR="005E60B9" w:rsidRDefault="005E60B9">
            <w:pPr>
              <w:widowControl w:val="0"/>
              <w:tabs>
                <w:tab w:val="left" w:pos="709"/>
              </w:tabs>
              <w:rPr>
                <w:sz w:val="28"/>
                <w:highlight w:val="yellow"/>
              </w:rPr>
            </w:pPr>
          </w:p>
        </w:tc>
      </w:tr>
    </w:tbl>
    <w:p w:rsidR="005E60B9" w:rsidRDefault="005E60B9"/>
    <w:p w:rsidR="005E60B9" w:rsidRDefault="005E60B9">
      <w:pPr>
        <w:tabs>
          <w:tab w:val="left" w:pos="709"/>
        </w:tabs>
        <w:jc w:val="both"/>
        <w:rPr>
          <w:sz w:val="28"/>
        </w:rPr>
      </w:pPr>
    </w:p>
    <w:p w:rsidR="005E60B9" w:rsidRDefault="005E60B9">
      <w:pPr>
        <w:tabs>
          <w:tab w:val="left" w:pos="709"/>
        </w:tabs>
        <w:jc w:val="both"/>
        <w:rPr>
          <w:sz w:val="28"/>
        </w:rPr>
      </w:pPr>
    </w:p>
    <w:p w:rsidR="005E60B9" w:rsidRDefault="005E60B9">
      <w:pPr>
        <w:tabs>
          <w:tab w:val="left" w:pos="709"/>
        </w:tabs>
        <w:jc w:val="both"/>
        <w:rPr>
          <w:sz w:val="28"/>
        </w:rPr>
      </w:pPr>
    </w:p>
    <w:p w:rsidR="005E60B9" w:rsidRDefault="005E60B9">
      <w:pPr>
        <w:tabs>
          <w:tab w:val="left" w:pos="709"/>
        </w:tabs>
        <w:jc w:val="both"/>
        <w:rPr>
          <w:sz w:val="28"/>
        </w:rPr>
      </w:pPr>
    </w:p>
    <w:p w:rsidR="005E60B9" w:rsidRDefault="005E60B9">
      <w:pPr>
        <w:rPr>
          <w:sz w:val="28"/>
        </w:rPr>
      </w:pPr>
    </w:p>
    <w:p w:rsidR="005E60B9" w:rsidRDefault="005E60B9">
      <w:pPr>
        <w:spacing w:line="216" w:lineRule="auto"/>
        <w:ind w:firstLine="709"/>
        <w:contextualSpacing/>
        <w:jc w:val="both"/>
        <w:rPr>
          <w:sz w:val="24"/>
        </w:rPr>
      </w:pPr>
    </w:p>
    <w:p w:rsidR="005E60B9" w:rsidRDefault="005E60B9">
      <w:pPr>
        <w:spacing w:line="216" w:lineRule="auto"/>
        <w:ind w:firstLine="709"/>
        <w:contextualSpacing/>
        <w:jc w:val="both"/>
      </w:pPr>
    </w:p>
    <w:sectPr w:rsidR="005E60B9">
      <w:headerReference w:type="default" r:id="rId9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D5B" w:rsidRDefault="00CB2D5B">
      <w:r>
        <w:separator/>
      </w:r>
    </w:p>
  </w:endnote>
  <w:endnote w:type="continuationSeparator" w:id="0">
    <w:p w:rsidR="00CB2D5B" w:rsidRDefault="00CB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D5B" w:rsidRDefault="00CB2D5B">
      <w:r>
        <w:separator/>
      </w:r>
    </w:p>
  </w:footnote>
  <w:footnote w:type="continuationSeparator" w:id="0">
    <w:p w:rsidR="00CB2D5B" w:rsidRDefault="00CB2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0B9" w:rsidRDefault="00CB2D5B">
    <w:pPr>
      <w:pStyle w:val="af4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5E60B9" w:rsidRDefault="005E60B9">
    <w:pPr>
      <w:pStyle w:val="af4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608"/>
    <w:multiLevelType w:val="multilevel"/>
    <w:tmpl w:val="D1CE86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822363"/>
    <w:multiLevelType w:val="multilevel"/>
    <w:tmpl w:val="76CE2E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B9"/>
    <w:rsid w:val="005E60B9"/>
    <w:rsid w:val="009006E7"/>
    <w:rsid w:val="00CB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1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12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3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Абзац списка1"/>
    <w:qFormat/>
  </w:style>
  <w:style w:type="character" w:customStyle="1" w:styleId="a5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Основной шрифт абзаца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7">
    <w:name w:val="Указатель1"/>
    <w:qFormat/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0">
    <w:name w:val="Основной шрифт абзаца2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Текст выноски1"/>
    <w:qFormat/>
    <w:rPr>
      <w:rFonts w:ascii="Tahoma" w:hAnsi="Tahoma"/>
      <w:sz w:val="16"/>
    </w:rPr>
  </w:style>
  <w:style w:type="character" w:customStyle="1" w:styleId="1a">
    <w:name w:val="Список1"/>
    <w:basedOn w:val="Textbody"/>
    <w:qFormat/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styleId="af4">
    <w:name w:val="header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5">
    <w:name w:val="List Paragraph"/>
    <w:qFormat/>
    <w:pPr>
      <w:spacing w:after="200" w:line="276" w:lineRule="auto"/>
      <w:ind w:left="720"/>
      <w:contextualSpacing/>
    </w:pPr>
    <w:rPr>
      <w:rFonts w:eastAsia="Calibri" w:cs="Times New Roman"/>
      <w:color w:val="FFFFFF"/>
      <w:sz w:val="22"/>
      <w:szCs w:val="22"/>
      <w:shd w:val="clear" w:color="auto" w:fill="000000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Balloon Text"/>
    <w:qFormat/>
    <w:rPr>
      <w:rFonts w:ascii="Tahoma" w:hAnsi="Tahoma"/>
      <w:sz w:val="16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61</cp:revision>
  <cp:lastPrinted>2022-08-02T16:09:00Z</cp:lastPrinted>
  <dcterms:created xsi:type="dcterms:W3CDTF">2022-08-09T11:05:00Z</dcterms:created>
  <dcterms:modified xsi:type="dcterms:W3CDTF">2022-08-09T11:21:00Z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