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74F5" w:rsidRDefault="00906324">
      <w:pPr>
        <w:keepNext/>
        <w:spacing w:before="0" w:after="0"/>
        <w:ind w:left="5670"/>
        <w:jc w:val="left"/>
      </w:pPr>
      <w:bookmarkStart w:id="0" w:name="_GoBack"/>
      <w:bookmarkEnd w:id="0"/>
      <w:r>
        <w:t xml:space="preserve">Утвержден </w:t>
      </w:r>
    </w:p>
    <w:p w:rsidR="001174F5" w:rsidRDefault="00906324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1174F5" w:rsidRDefault="00906324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1174F5" w:rsidRDefault="00906324">
      <w:pPr>
        <w:keepNext/>
        <w:spacing w:before="0" w:after="0"/>
        <w:ind w:left="5670"/>
        <w:jc w:val="left"/>
      </w:pPr>
      <w:r>
        <w:t>Рязанской области</w:t>
      </w:r>
    </w:p>
    <w:p w:rsidR="001174F5" w:rsidRDefault="00C80341">
      <w:pPr>
        <w:keepNext/>
        <w:tabs>
          <w:tab w:val="left" w:pos="5100"/>
        </w:tabs>
        <w:spacing w:before="0" w:after="0"/>
        <w:ind w:left="5670"/>
        <w:jc w:val="left"/>
      </w:pPr>
      <w:r>
        <w:t>от 27 октября 2022 г.</w:t>
      </w:r>
      <w:r w:rsidR="00906324">
        <w:t xml:space="preserve"> №</w:t>
      </w:r>
      <w:r>
        <w:t xml:space="preserve"> 606-п</w:t>
      </w: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906324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1174F5" w:rsidRDefault="00906324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Льговское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1174F5" w:rsidRDefault="00906324">
      <w:pPr>
        <w:pStyle w:val="a7"/>
        <w:spacing w:after="6"/>
        <w:ind w:firstLine="0"/>
        <w:jc w:val="center"/>
      </w:pPr>
      <w:r>
        <w:rPr>
          <w:sz w:val="32"/>
          <w:szCs w:val="32"/>
        </w:rPr>
        <w:t>Рязанского муниципального района Рязанской области</w:t>
      </w:r>
    </w:p>
    <w:p w:rsidR="001174F5" w:rsidRDefault="00906324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906324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1174F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1174F5" w:rsidRDefault="00906324">
      <w:pPr>
        <w:pStyle w:val="1"/>
        <w:spacing w:before="0" w:after="0"/>
        <w:ind w:firstLine="567"/>
        <w:contextualSpacing/>
        <w:jc w:val="both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1174F5" w:rsidRDefault="001174F5">
      <w:pPr>
        <w:pStyle w:val="a7"/>
        <w:rPr>
          <w:szCs w:val="28"/>
        </w:rPr>
      </w:pPr>
    </w:p>
    <w:p w:rsidR="001174F5" w:rsidRDefault="00906324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en-US"/>
        </w:rPr>
        <w:t xml:space="preserve">Генеральным планом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Льговское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en-US"/>
        </w:rPr>
        <w:t xml:space="preserve"> сельское поселение </w:t>
      </w:r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Рязанского</w:t>
      </w:r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en-US"/>
        </w:rPr>
        <w:t xml:space="preserve"> муниципального района Рязанской области планируется р</w:t>
      </w:r>
      <w:r>
        <w:rPr>
          <w:rStyle w:val="-"/>
          <w:bCs/>
          <w:iCs/>
          <w:color w:val="000000"/>
          <w:sz w:val="28"/>
          <w:szCs w:val="28"/>
          <w:u w:val="none"/>
        </w:rPr>
        <w:t>азмещение</w:t>
      </w:r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en-US"/>
        </w:rPr>
        <w:t xml:space="preserve"> объектов местного значения, приведенные в таблице ниже.</w:t>
      </w:r>
    </w:p>
    <w:tbl>
      <w:tblPr>
        <w:tblW w:w="995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4"/>
        <w:gridCol w:w="2368"/>
        <w:gridCol w:w="2220"/>
        <w:gridCol w:w="3201"/>
      </w:tblGrid>
      <w:tr w:rsidR="001174F5">
        <w:trPr>
          <w:trHeight w:val="497"/>
          <w:tblHeader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TableParagraph"/>
              <w:widowControl w:val="0"/>
              <w:suppressAutoHyphens w:val="0"/>
              <w:ind w:left="57" w:right="57" w:hanging="10"/>
              <w:contextualSpacing/>
              <w:jc w:val="center"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1174F5" w:rsidRDefault="00906324">
            <w:pPr>
              <w:pStyle w:val="af7"/>
              <w:widowControl w:val="0"/>
              <w:spacing w:before="0" w:after="0"/>
              <w:ind w:left="47" w:right="57"/>
              <w:contextualSpacing/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f7"/>
              <w:widowControl w:val="0"/>
              <w:spacing w:before="0" w:after="0"/>
              <w:ind w:hanging="10"/>
              <w:contextualSpacing/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f7"/>
              <w:widowControl w:val="0"/>
              <w:spacing w:before="0" w:after="0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Зона с особыми условиями использования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TableParagraph"/>
              <w:widowControl w:val="0"/>
              <w:ind w:left="57" w:right="57"/>
              <w:contextualSpacing/>
              <w:jc w:val="center"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Вид</w:t>
            </w:r>
          </w:p>
          <w:p w:rsidR="001174F5" w:rsidRDefault="00906324">
            <w:pPr>
              <w:pStyle w:val="TableParagraph"/>
              <w:widowControl w:val="0"/>
              <w:ind w:left="57" w:right="57"/>
              <w:contextualSpacing/>
              <w:jc w:val="center"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функциональной зоны</w:t>
            </w:r>
          </w:p>
        </w:tc>
      </w:tr>
      <w:tr w:rsidR="001174F5">
        <w:trPr>
          <w:trHeight w:val="565"/>
        </w:trPr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f8"/>
              <w:widowControl w:val="0"/>
              <w:ind w:left="57" w:right="57"/>
              <w:contextualSpacing/>
              <w:jc w:val="center"/>
              <w:textAlignment w:val="baseline"/>
            </w:pPr>
            <w:r>
              <w:rPr>
                <w:rFonts w:ascii="Times New Roman" w:hAnsi="Times New Roman" w:cs="Times New Roman"/>
                <w:kern w:val="2"/>
                <w:lang w:eastAsia="ru-RU" w:bidi="ar-SA"/>
              </w:rPr>
              <w:t>Детское дошкольное учреждение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f9"/>
              <w:widowControl w:val="0"/>
              <w:spacing w:after="0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Льгово</w:t>
            </w:r>
            <w:proofErr w:type="spellEnd"/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TableParagraph"/>
              <w:widowControl w:val="0"/>
              <w:snapToGrid w:val="0"/>
              <w:contextualSpacing/>
              <w:jc w:val="center"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111"/>
              <w:widowControl w:val="0"/>
              <w:snapToGrid w:val="0"/>
              <w:ind w:left="57" w:right="-1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Зона специализированной общественной застройки</w:t>
            </w:r>
          </w:p>
        </w:tc>
      </w:tr>
    </w:tbl>
    <w:p w:rsidR="001174F5" w:rsidRDefault="00906324">
      <w:pPr>
        <w:spacing w:before="0" w:after="0"/>
        <w:ind w:firstLine="567"/>
        <w:contextualSpacing/>
        <w:jc w:val="both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 xml:space="preserve">Планируемые объекты местного </w:t>
      </w:r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en-US"/>
        </w:rPr>
        <w:t>значения отображены на карте планируемого размещения объектов местного значения поселения.</w:t>
      </w:r>
    </w:p>
    <w:p w:rsidR="001174F5" w:rsidRDefault="001174F5">
      <w:pPr>
        <w:pStyle w:val="a7"/>
      </w:pPr>
    </w:p>
    <w:p w:rsidR="001174F5" w:rsidRDefault="00906324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1174F5" w:rsidRDefault="001174F5">
      <w:pPr>
        <w:pStyle w:val="a7"/>
        <w:rPr>
          <w:color w:val="auto"/>
          <w:szCs w:val="28"/>
        </w:rPr>
      </w:pPr>
    </w:p>
    <w:p w:rsidR="001174F5" w:rsidRDefault="00906324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1174F5" w:rsidRDefault="00906324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1174F5" w:rsidRDefault="00906324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Льговское</w:t>
      </w:r>
      <w:proofErr w:type="spellEnd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Рязанского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1174F5" w:rsidRDefault="001174F5">
      <w:pPr>
        <w:pStyle w:val="a7"/>
        <w:rPr>
          <w:color w:val="auto"/>
        </w:rPr>
      </w:pPr>
    </w:p>
    <w:p w:rsidR="001174F5" w:rsidRDefault="00906324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1174F5" w:rsidRDefault="001174F5">
      <w:pPr>
        <w:pStyle w:val="a7"/>
        <w:rPr>
          <w:color w:val="auto"/>
        </w:rPr>
      </w:pPr>
    </w:p>
    <w:p w:rsidR="001174F5" w:rsidRDefault="00906324">
      <w:pPr>
        <w:pStyle w:val="a7"/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Льговское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1174F5" w:rsidRDefault="00906324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1174F5" w:rsidRDefault="00906324">
      <w:pPr>
        <w:pStyle w:val="a7"/>
        <w:rPr>
          <w:szCs w:val="28"/>
        </w:rPr>
      </w:pPr>
      <w:r>
        <w:lastRenderedPageBreak/>
        <w:t>- оптимальные варианты сочетания в пределах зон градостроительных объектов различного функционального назначения;</w:t>
      </w:r>
    </w:p>
    <w:p w:rsidR="001174F5" w:rsidRDefault="00906324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1174F5" w:rsidRDefault="00906324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1174F5" w:rsidRDefault="00906324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1174F5" w:rsidRDefault="00906324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1174F5" w:rsidRDefault="00906324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Льговское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1"/>
        <w:gridCol w:w="1623"/>
        <w:gridCol w:w="6917"/>
      </w:tblGrid>
      <w:tr w:rsidR="001174F5">
        <w:trPr>
          <w:trHeight w:val="497"/>
          <w:tblHeader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Код</w:t>
            </w:r>
          </w:p>
          <w:p w:rsidR="001174F5" w:rsidRDefault="00906324">
            <w:pPr>
              <w:pStyle w:val="ae"/>
              <w:widowControl w:val="0"/>
            </w:pPr>
            <w:r>
              <w:t>объекта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Условное</w:t>
            </w:r>
          </w:p>
          <w:p w:rsidR="001174F5" w:rsidRDefault="00906324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6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1174F5">
        <w:trPr>
          <w:trHeight w:val="609"/>
          <w:tblHeader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1174F5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1174F5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6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1174F5">
            <w:pPr>
              <w:widowControl w:val="0"/>
              <w:snapToGrid w:val="0"/>
              <w:rPr>
                <w:bCs/>
              </w:rPr>
            </w:pPr>
          </w:p>
        </w:tc>
      </w:tr>
      <w:tr w:rsidR="001174F5">
        <w:trPr>
          <w:trHeight w:val="68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701010101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75565</wp:posOffset>
                      </wp:positionV>
                      <wp:extent cx="714375" cy="28257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1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11.35pt;margin-top:5.95pt;width:56.15pt;height:22.15pt;v-text-anchor:top">
                      <w10:wrap type="non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701010302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60960</wp:posOffset>
                      </wp:positionV>
                      <wp:extent cx="714375" cy="282575"/>
                      <wp:effectExtent l="0" t="0" r="0" b="0"/>
                      <wp:wrapNone/>
                      <wp:docPr id="3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2.2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ca7af5" stroked="t" style="position:absolute;margin-left:10.5pt;margin-top:4.8pt;width:56.15pt;height:22.15pt;v-text-anchor:top">
                      <w10:wrap type="none"/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701010401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86360</wp:posOffset>
                      </wp:positionV>
                      <wp:extent cx="714375" cy="282575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3.1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10.5pt;margin-top:6.8pt;width:56.15pt;height:22.15pt;v-text-anchor:top">
                      <w10:wrap type="none"/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701010404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122555</wp:posOffset>
                      </wp:positionV>
                      <wp:extent cx="714375" cy="282575"/>
                      <wp:effectExtent l="0" t="0" r="0" b="0"/>
                      <wp:wrapNone/>
                      <wp:docPr id="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3.3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636382" stroked="t" style="position:absolute;margin-left:10.75pt;margin-top:9.65pt;width:56.15pt;height:22.15pt;v-text-anchor:top">
                      <w10:wrap type="none"/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701010405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93345</wp:posOffset>
                      </wp:positionV>
                      <wp:extent cx="714375" cy="282575"/>
                      <wp:effectExtent l="0" t="0" r="0" b="0"/>
                      <wp:wrapNone/>
                      <wp:docPr id="9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3.4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11.05pt;margin-top:7.35pt;width:56.15pt;height:22.15pt;v-text-anchor:top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7010105</w:t>
            </w:r>
            <w:r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104140</wp:posOffset>
                      </wp:positionV>
                      <wp:extent cx="714375" cy="282575"/>
                      <wp:effectExtent l="0" t="0" r="0" b="0"/>
                      <wp:wrapNone/>
                      <wp:docPr id="11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4.1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aaff00" stroked="t" style="position:absolute;margin-left:11.05pt;margin-top:8.2pt;width:56.15pt;height:22.15pt;v-text-anchor:top">
                      <w10:wrap type="none"/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701010500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71755</wp:posOffset>
                      </wp:positionV>
                      <wp:extent cx="714375" cy="282575"/>
                      <wp:effectExtent l="0" t="0" r="0" b="0"/>
                      <wp:wrapNone/>
                      <wp:docPr id="13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4.2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tabs>
                                      <w:tab w:val="left" w:pos="426"/>
                                    </w:tabs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11.6pt;margin-top:5.65pt;width:56.15pt;height:22.15pt;v-text-anchor:top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110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71755</wp:posOffset>
                      </wp:positionV>
                      <wp:extent cx="714375" cy="282575"/>
                      <wp:effectExtent l="0" t="0" r="0" b="0"/>
                      <wp:wrapNone/>
                      <wp:docPr id="1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4.3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tabs>
                                      <w:tab w:val="left" w:pos="426"/>
                                    </w:tabs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cdaa66" stroked="t" style="position:absolute;margin-left:11.6pt;margin-top:5.65pt;width:56.15pt;height:22.15pt;v-text-anchor:top">
                      <w10:wrap type="none"/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4.3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111"/>
              <w:widowControl w:val="0"/>
              <w:overflowPunct w:val="0"/>
              <w:spacing w:before="100" w:after="100"/>
              <w:ind w:firstLine="113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Иные зоны сельскохозяйственного назначения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701010503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14375" cy="282575"/>
                      <wp:effectExtent l="0" t="0" r="0" b="0"/>
                      <wp:wrapNone/>
                      <wp:docPr id="17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4.4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11.05pt;margin-top:7.95pt;width:56.15pt;height:22.15pt;v-text-anchor:top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D82F63">
            <w:pPr>
              <w:pStyle w:val="110"/>
              <w:widowControl w:val="0"/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 wp14:anchorId="60F43E96" wp14:editId="1511DA56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34925</wp:posOffset>
                      </wp:positionV>
                      <wp:extent cx="710565" cy="354330"/>
                      <wp:effectExtent l="0" t="0" r="0" b="7620"/>
                      <wp:wrapNone/>
                      <wp:docPr id="20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565" cy="35433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widowControl w:val="0"/>
                                  </w:pPr>
                                  <w:r>
                                    <w:t>5.0</w:t>
                                  </w:r>
                                </w:p>
                                <w:p w:rsidR="001174F5" w:rsidRDefault="001174F5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35" style="position:absolute;left:0;text-align:left;margin-left:79.75pt;margin-top:2.75pt;width:55.95pt;height:27.9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KE5AEAAP0DAAAOAAAAZHJzL2Uyb0RvYy54bWysU0tu2zAQ3RfoHQjua8l2nDaC5aBokG6K&#10;NmiaA9AUaREgOQTJWPKuZ+hJuikK9BTKjTqkbKWfVYpuKHJm3sy8N6P1ZW802QsfFNiazmclJcJy&#10;aJTd1fTu0/WLV5SEyGzDNFhR04MI9HLz/Nm6c5VYQAu6EZ5gEhuqztW0jdFVRRF4KwwLM3DColOC&#10;Nyzi0++KxrMOsxtdLMryvOjAN84DFyGg9Wp00k3OL6Xg8YOUQUSia4q9xXz6fG7TWWzWrNp55lrF&#10;j22wf+jCMGWx6JTqikVG7r36K5VR3EMAGWccTAFSKi4yB2QzL/9gc9syJzIXFCe4Sabw/9Ly9/sb&#10;T1RT0wXKY5nBGQ1fHj4P34bvw4/h6/wsSdS5UGHkrbvxx1fAa+LbS2/SF5mQPst6mGQVfSQcjS/n&#10;5ep8RQlH13J1tlxm2YtHsPMhvhVgSLrU1OPUsphs/y5ELIihp5BUy8K10jpPTlvSpXq/mTFcW0Sl&#10;rsc+8y0etEhx2n4UEinndpMhcL/bvtGejHuBi4tSnLYjJ0NACpRY9onYIyShRV7HJ+InUK4PNk54&#10;oyz4NJyR58guEY39ts8TvTiNbgvNYRyXhdf3EaTKqqbgkysnwR3LYh//h7TEv75zqce/dvMTAAD/&#10;/wMAUEsDBBQABgAIAAAAIQDaEdgJ3gAAAAgBAAAPAAAAZHJzL2Rvd25yZXYueG1sTI/BTsMwEETv&#10;SPyDtUjcqJPQlDbEqSokhMStBak5uraJo9rrKHbT8PcsJzitRjOafVNvZ+/YZMbYBxSQLzJgBlXQ&#10;PXYCPj9eH9bAYpKopQtoBHybCNvm9qaWlQ5X3JvpkDpGJRgrKcCmNFScR2WNl3ERBoPkfYXRy0Ry&#10;7Lge5ZXKveNFlq24lz3SBysH82KNOh8uXsBuaotj271p176fl3urYntMSoj7u3n3DCyZOf2F4Ref&#10;0KEhplO4oI7MkS43JUUFlHTIL57yJbCTgFX+CLyp+f8BzQ8AAAD//wMAUEsBAi0AFAAGAAgAAAAh&#10;ALaDOJL+AAAA4QEAABMAAAAAAAAAAAAAAAAAAAAAAFtDb250ZW50X1R5cGVzXS54bWxQSwECLQAU&#10;AAYACAAAACEAOP0h/9YAAACUAQAACwAAAAAAAAAAAAAAAAAvAQAAX3JlbHMvLnJlbHNQSwECLQAU&#10;AAYACAAAACEAqdFyhOQBAAD9AwAADgAAAAAAAAAAAAAAAAAuAgAAZHJzL2Uyb0RvYy54bWxQSwEC&#10;LQAUAAYACAAAACEA2hHYCd4AAAAIAQAADwAAAAAAAAAAAAAAAAA+BAAAZHJzL2Rvd25yZXYueG1s&#10;UEsFBgAAAAAEAAQA8wAAAEkFAAAAAA==&#10;" o:allowincell="f" filled="f" stroked="f" strokeweight="0">
                      <v:textbox>
                        <w:txbxContent>
                          <w:p w:rsidR="001174F5" w:rsidRDefault="00906324">
                            <w:pPr>
                              <w:widowControl w:val="0"/>
                            </w:pPr>
                            <w:r>
                              <w:t>5.0</w:t>
                            </w:r>
                          </w:p>
                          <w:p w:rsidR="001174F5" w:rsidRDefault="001174F5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6324">
              <w:t>70101060</w:t>
            </w:r>
            <w:r w:rsidR="00906324">
              <w:rPr>
                <w:lang w:val="en-US"/>
              </w:rPr>
              <w:t>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44916D9C" wp14:editId="1A26E38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78105</wp:posOffset>
                      </wp:positionV>
                      <wp:extent cx="710565" cy="292100"/>
                      <wp:effectExtent l="0" t="0" r="0" b="0"/>
                      <wp:wrapTopAndBottom/>
                      <wp:docPr id="19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29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6" style="position:absolute;margin-left:9.9pt;margin-top:6.15pt;width:55.95pt;height:23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w/7wEAAC8EAAAOAAAAZHJzL2Uyb0RvYy54bWysU81uEzEQviPxDpbvZDcLDd1VNj0QlQuC&#10;isIDOF47a8l/st1scuMZeBIuCImn2L4R40maprSXIvbgtT3zfTPzzXh+sTWabESIytmWTiclJcJy&#10;1ym7bunXL5evzimJidmOaWdFS3ci0ovFyxfzwTeicr3TnQgESGxsBt/SPiXfFEXkvTAsTpwXFozS&#10;BcMSHMO66AIbgN3ooirLWTG40PnguIgRbpd7I10gv5SCp09SRpGIbinklnANuK7yWizmrFkH5nvF&#10;D2mwf8jCMGUh6JFqyRIjN0E9ojKKBxedTBPuTOGkVFxgDVDNtPyrmuueeYG1gDjRH2WK/4+Wf9xc&#10;BaI66F1NiWUGejR+v/02/hx/jb/HH1VWaPCxAcdrfxUOpwjbXO5WBpP/UAjZoqq7o6pimwiHy7dl&#10;XVegPQdTVU9nJape3IN9iOm9cIbkTUsDNA21ZJsPMUFAcL1zybGi06q7VFrjIaxX73QgGwYNPntT&#10;n50vc8YAeeCmLRlaWr+elcj8wBZPKUr8nqII7sZ2e2ptIUIWZS8D7tJOi5yQtp+FBEFRDcyQH/j3&#10;UwfPArS4mz3IEwHZUUJJz8QeIBktcNifiT+CML6z6Yg3yrqAMpxUl7cr1+1wDFAAmEoU+/CC8tif&#10;nlGm+3e++AMAAP//AwBQSwMEFAAGAAgAAAAhAMaXpaHeAAAACAEAAA8AAABkcnMvZG93bnJldi54&#10;bWxMj8FOwzAQRO9I/IO1SFwQddqotIQ4Fa1A5QiBA0c33joR8TqN3Sb9e7YnOK1Gs5p5k69G14oT&#10;9qHxpGA6SUAgVd40ZBV8fb7eL0GEqMno1hMqOGOAVXF9levM+IE+8FRGKziEQqYV1DF2mZShqtHp&#10;MPEdEnt73zsdWfZWml4PHO5aOUuSB+l0Q9xQ6w43NVY/5dFx7/bwvXgv39Z+sz+ch/WdfTHBKnV7&#10;Mz4/gYg4xr9nuOAzOhTMtPNHMkG0rB+ZPPKdpSAufjpdgNgpmC9TkEUu/w8ofgEAAP//AwBQSwEC&#10;LQAUAAYACAAAACEAtoM4kv4AAADhAQAAEwAAAAAAAAAAAAAAAAAAAAAAW0NvbnRlbnRfVHlwZXNd&#10;LnhtbFBLAQItABQABgAIAAAAIQA4/SH/1gAAAJQBAAALAAAAAAAAAAAAAAAAAC8BAABfcmVscy8u&#10;cmVsc1BLAQItABQABgAIAAAAIQCgRVw/7wEAAC8EAAAOAAAAAAAAAAAAAAAAAC4CAABkcnMvZTJv&#10;RG9jLnhtbFBLAQItABQABgAIAAAAIQDGl6Wh3gAAAAgBAAAPAAAAAAAAAAAAAAAAAEkEAABkcnMv&#10;ZG93bnJldi54bWxQSwUGAAAAAAQABADzAAAAVAUAAAAA&#10;" fillcolor="#54958d" strokeweight=".26mm">
                      <v:stroke joinstyle="round"/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111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рекреационного назначения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110"/>
              <w:widowControl w:val="0"/>
            </w:pPr>
            <w:r>
              <w:lastRenderedPageBreak/>
              <w:t>70101060</w:t>
            </w:r>
            <w:r>
              <w:rPr>
                <w:lang w:val="en-US"/>
              </w:rPr>
              <w:t>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83185</wp:posOffset>
                      </wp:positionV>
                      <wp:extent cx="714375" cy="282575"/>
                      <wp:effectExtent l="0" t="0" r="0" b="0"/>
                      <wp:wrapNone/>
                      <wp:docPr id="22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5.2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f57a7a" stroked="t" style="position:absolute;margin-left:14.4pt;margin-top:6.55pt;width:56.15pt;height:22.15pt;v-text-anchor:top">
                      <w10:wrap type="none"/>
                      <v:fill o:detectmouseclick="t" type="solid" color2="#0a858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5.2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111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отдыха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7010106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59690</wp:posOffset>
                      </wp:positionV>
                      <wp:extent cx="714375" cy="282575"/>
                      <wp:effectExtent l="0" t="0" r="0" b="0"/>
                      <wp:wrapNone/>
                      <wp:docPr id="24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5.3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fillcolor="#1c8f69" stroked="t" style="position:absolute;margin-left:13.5pt;margin-top:4.7pt;width:56.15pt;height:22.15pt;v-text-anchor:top">
                      <w10:wrap type="none"/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D82F6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 wp14:anchorId="6E73C097" wp14:editId="69B062B4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71120</wp:posOffset>
                      </wp:positionV>
                      <wp:extent cx="714375" cy="327660"/>
                      <wp:effectExtent l="0" t="0" r="0" b="0"/>
                      <wp:wrapNone/>
                      <wp:docPr id="2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276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  <w:contextualSpacing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23120" tIns="77400" rIns="123120" bIns="774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8" style="position:absolute;left:0;text-align:left;margin-left:83.55pt;margin-top:5.6pt;width:56.25pt;height:25.8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1O/gEAADQEAAAOAAAAZHJzL2Uyb0RvYy54bWysU0uO1DAQ3SNxB8t7Op300EFRp0eI0SAk&#10;BCOGOYDj2B1L/sn2dNI7zsBJ2CAkTpG5EWWnO/NhNYiNk3LVq6pXr7w5H5REe+a8MLrG+WKJEdPU&#10;tELvanzz9fLVG4x8ILol0mhW4wPz+Hz78sWmtxUrTGdkyxyCJNpXva1xF4KtsszTjiniF8YyDU5u&#10;nCIBTLfLWkd6yK5kViyX66w3rrXOUOY93F5MTrxN+TlnNHzm3LOAZI2ht5BOl84mntl2Q6qdI7YT&#10;9NgG+YcuFBEais6pLkgg6NaJv1IpQZ3xhocFNSoznAvKEgdgky+fsLnuiGWJCwzH23lM/v+lpZ/2&#10;Vw6JtsZFiZEmCjQav999G3+Ov8bf4498FUfUW19B5LW9ckfLw2/kO3Cn4heYoCGN9TCPlQ0BUbgs&#10;87NV+RojCq5VUa7XaezZPdg6H94zo1D8qbED1dIwyf6jD1AQQk8hsZY2l0LKpJzUqI/1Hl1DuNSA&#10;il1Pfaa/cJAsxkn9hXGgnNqNF566XfNOOjTtBSwubMppO1IyAMRADmWfiT1CIpqldXwmfgal+kaH&#10;Ga+ENi6KM/Gc2EWiYWiGpGhenLRrTHsAmeUHDauTF6u8iG8hWWV5tgTDPXI1D1yxsDZvb4PhIokR&#10;a0wJj7VhNZNGx2cUd/+hnaLuH/v2DwAAAP//AwBQSwMEFAAGAAgAAAAhAGaCRlXfAAAACQEAAA8A&#10;AABkcnMvZG93bnJldi54bWxMj8FOwzAMhu9IvENkJG4sbZG60TWdKiTECQFlIO2WNaYtNE7UZFv3&#10;9pgT3PzLn35/LjezHcURpzA4UpAuEhBIrTMDdQq2bw83KxAhajJ6dIQKzhhgU11elLow7kSveGxi&#10;J7iEQqEV9DH6QsrQ9mh1WDiPxLtPN1kdOU6dNJM+cbkdZZYkubR6IL7Qa4/3PbbfzcEqoPlr9xxf&#10;zvVT/f7R+NuWtj59VOr6aq7XICLO8Q+GX31Wh4qd9u5AJoiRc75MGeUhzUAwkC3vchB7BXm2AlmV&#10;8v8H1Q8AAAD//wMAUEsBAi0AFAAGAAgAAAAhALaDOJL+AAAA4QEAABMAAAAAAAAAAAAAAAAAAAAA&#10;AFtDb250ZW50X1R5cGVzXS54bWxQSwECLQAUAAYACAAAACEAOP0h/9YAAACUAQAACwAAAAAAAAAA&#10;AAAAAAAvAQAAX3JlbHMvLnJlbHNQSwECLQAUAAYACAAAACEAH0YtTv4BAAA0BAAADgAAAAAAAAAA&#10;AAAAAAAuAgAAZHJzL2Uyb0RvYy54bWxQSwECLQAUAAYACAAAACEAZoJGVd8AAAAJAQAADwAAAAAA&#10;AAAAAAAAAABYBAAAZHJzL2Rvd25yZXYueG1sUEsFBgAAAAAEAAQA8wAAAGQFAAAAAA==&#10;" o:allowincell="f" filled="f" stroked="f" strokeweight="0">
                      <v:textbox inset="3.42mm,2.15mm,3.42mm,2.15mm">
                        <w:txbxContent>
                          <w:p w:rsidR="001174F5" w:rsidRDefault="00906324">
                            <w:pPr>
                              <w:pStyle w:val="af4"/>
                              <w:widowControl w:val="0"/>
                              <w:contextualSpacing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6324">
              <w:t>701010701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widowControl w:val="0"/>
              <w:snapToGrid w:val="0"/>
              <w:spacing w:before="0" w:after="0"/>
              <w:contextualSpacing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 wp14:anchorId="0C71E0B9" wp14:editId="07C6BE00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30480</wp:posOffset>
                      </wp:positionV>
                      <wp:extent cx="714375" cy="327660"/>
                      <wp:effectExtent l="0" t="0" r="0" b="0"/>
                      <wp:wrapNone/>
                      <wp:docPr id="26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326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26" style="position:absolute;margin-left:12.1pt;margin-top:2.4pt;width:56.25pt;height:25.8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iQywEAANEDAAAOAAAAZHJzL2Uyb0RvYy54bWysU8GO0zAQvSPxD5bvNG0XlSpqugdWywXB&#10;imU/wHXsxpLtscamaW98A1/CBSHxFeGPGDvd7AKnRVyc8djvzbznyeby6Cw7KIwGfMMXszlnykto&#10;jd83/O7j9Ys1ZzEJ3woLXjX8pCK/3D5/tulDrZbQgW0VMiLxse5Dw7uUQl1VUXbKiTiDoDwdakAn&#10;Em1xX7UoemJ3tlrO56uqB2wDglQxUvZqPOTbwq+1kum91lElZhtOvaWyYll3ea22G1HvUYTOyHMb&#10;4h+6cMJ4KjpRXYkk2Cc0f1E5IxEi6DST4CrQ2khVNJCaxfwPNbedCKpoIXNimGyK/49WvjvcIDNt&#10;w5crzrxw9EbDl5+fh2/D9+HH8HXxMlvUh1jTzdtwg+ddpDDrPWp0+UtK2LHYeppsVcfEJCVfLS7W&#10;azJf0tHFcpVjYqkewAFjeqPAsRw0HOnVipni8Dam8er9lVzLw7WxlvKitp71ud5vaWK2ngrkrsc+&#10;S5ROVo2YD0qT5NJuTkSJ+91ri2ycCxpcavZ+OgoZAfJFTWWfiD1DMlqVcXwifgKV+uDThHfGAxYj&#10;H6nL4Q7aU3mnYgDNTfH6PON5MB/vi00Pf+L2FwAAAP//AwBQSwMEFAAGAAgAAAAhAOMzRB/bAAAA&#10;BwEAAA8AAABkcnMvZG93bnJldi54bWxMj0FLxDAUhO+C/yE8wZubWmuV2tdlEUTwtquwPWaTZ1O2&#10;eSlNtlv/vdmTHocZZr6p14sbxExT6D0j3K8yEMTam547hK/Pt7tnECEqNmrwTAg/FGDdXF/VqjL+&#10;zFuad7ETqYRDpRBsjGMlZdCWnAorPxIn79tPTsUkp06aSZ1TuRtknmWldKrntGDVSK+W9HF3cgib&#10;uc33bfduhvbjWGytDu0+asTbm2XzAiLSEv/CcMFP6NAkpoM/sQliQMiLPCURinTgYj+UTyAOCI9l&#10;AbKp5X/+5hcAAP//AwBQSwECLQAUAAYACAAAACEAtoM4kv4AAADhAQAAEwAAAAAAAAAAAAAAAAAA&#10;AAAAW0NvbnRlbnRfVHlwZXNdLnhtbFBLAQItABQABgAIAAAAIQA4/SH/1gAAAJQBAAALAAAAAAAA&#10;AAAAAAAAAC8BAABfcmVscy8ucmVsc1BLAQItABQABgAIAAAAIQDLE6iQywEAANEDAAAOAAAAAAAA&#10;AAAAAAAAAC4CAABkcnMvZTJvRG9jLnhtbFBLAQItABQABgAIAAAAIQDjM0Qf2wAAAAcBAAAPAAAA&#10;AAAAAAAAAAAAACUEAABkcnMvZG93bnJldi54bWxQSwUGAAAAAAQABADzAAAALQUAAAAA&#10;" filled="f" stroked="f" strokeweight="0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270" cy="379095"/>
                  <wp:effectExtent l="0" t="0" r="0" b="0"/>
                  <wp:docPr id="2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583" t="-13089" r="-6583" b="-13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1174F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D82F63">
            <w:pPr>
              <w:pStyle w:val="110"/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 wp14:anchorId="0B38CD22" wp14:editId="1D225AEF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127635</wp:posOffset>
                      </wp:positionV>
                      <wp:extent cx="714375" cy="282575"/>
                      <wp:effectExtent l="0" t="0" r="0" b="3175"/>
                      <wp:wrapNone/>
                      <wp:docPr id="31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4F5" w:rsidRDefault="00906324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6.2</w:t>
                                  </w:r>
                                </w:p>
                                <w:p w:rsidR="001174F5" w:rsidRDefault="001174F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" o:spid="_x0000_s1039" style="position:absolute;left:0;text-align:left;margin-left:79.25pt;margin-top:10.05pt;width:56.25pt;height:22.2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rV4QEAAP4DAAAOAAAAZHJzL2Uyb0RvYy54bWysU8Fu1DAQvSPxD5bvbDZZSqtosxWiKhcE&#10;FYUP8Dr2xpLtsWx3k73xDXwJF4TEV6R/xNjZTQucirg44/G8NzNvJuvLwWiyFz4osA0tF0tKhOXQ&#10;Krtr6OdP1y8uKAmR2ZZpsKKhBxHo5eb5s3XvalFBB7oVniCJDXXvGtrF6OqiCLwThoUFOGHxUYI3&#10;LOLV74rWsx7ZjS6q5fJV0YNvnQcuQkDv1fRIN5lfSsHjBymDiEQ3FGuL+fT53Kaz2KxZvfPMdYof&#10;y2D/UIVhymLSmeqKRUbuvPqLyijuIYCMCw6mACkVF7kH7KZc/tHNbcecyL2gOMHNMoX/R8vf7288&#10;UW1DVyUllhmc0fj1/sv4ffwx/hy/lVWSqHehxshbd+OPt4Bm6neQ3qQvdkKGLOthllUMkXB0npcv&#10;V+dnlHB8qi6qM7SRpXgAOx/iWwGGJKOhHqeWxWT7dyFOoaeQlMvCtdIa/azWlvQp329uZNYWE6Sq&#10;pzqzFQ9aTJiPQmLLudzkCNzvtm+0J9Ne4OLippy2I5MhIAVKTPtE7BGS0CKv4xPxMyjnBxtnvFEW&#10;fBbyUXfJjMN2yBMtV6fZbaE9TPOy8PouglRZ1hR9espq4ZLlwRx/iLTFj+9Z04ffdvMLAAD//wMA&#10;UEsDBBQABgAIAAAAIQADIJ9A3QAAAAkBAAAPAAAAZHJzL2Rvd25yZXYueG1sTI/LasMwEEX3hf6D&#10;mEB3jWyTuMG1HEKhFLpLGoiXijSxTPQwluK4f9/pql1e5nDn3Ho7O8smHGMfvIB8mQFDr4LufSfg&#10;+PX+vAEWk/Ra2uBRwDdG2DaPD7WsdLj7PU6H1DEq8bGSAkxKQ8V5VAadjMswoKfbJYxOJopjx/Uo&#10;71TuLC+yrORO9p4+GDngm0F1PdycgN3UFqe2+9C2/byu9kbF9pSUEE+LefcKLOGc/mD41Sd1aMjp&#10;HG5eR2YprzdrQgUUWQ6MgOIlp3FnAeWqBN7U/P+C5gcAAP//AwBQSwECLQAUAAYACAAAACEAtoM4&#10;kv4AAADhAQAAEwAAAAAAAAAAAAAAAAAAAAAAW0NvbnRlbnRfVHlwZXNdLnhtbFBLAQItABQABgAI&#10;AAAAIQA4/SH/1gAAAJQBAAALAAAAAAAAAAAAAAAAAC8BAABfcmVscy8ucmVsc1BLAQItABQABgAI&#10;AAAAIQCM8DrV4QEAAP4DAAAOAAAAAAAAAAAAAAAAAC4CAABkcnMvZTJvRG9jLnhtbFBLAQItABQA&#10;BgAIAAAAIQADIJ9A3QAAAAkBAAAPAAAAAAAAAAAAAAAAADsEAABkcnMvZG93bnJldi54bWxQSwUG&#10;AAAAAAQABADzAAAARQUAAAAA&#10;" o:allowincell="f" filled="f" stroked="f" strokeweight="0">
                      <v:textbox>
                        <w:txbxContent>
                          <w:p w:rsidR="001174F5" w:rsidRDefault="00906324">
                            <w:pPr>
                              <w:pStyle w:val="af4"/>
                              <w:widowControl w:val="0"/>
                            </w:pPr>
                            <w:r>
                              <w:t>6.2</w:t>
                            </w:r>
                          </w:p>
                          <w:p w:rsidR="001174F5" w:rsidRDefault="001174F5">
                            <w:pPr>
                              <w:pStyle w:val="af4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6324">
              <w:rPr>
                <w:sz w:val="24"/>
                <w:szCs w:val="24"/>
              </w:rPr>
              <w:t>701010800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710D039F" wp14:editId="1B50F0F6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14375" cy="282575"/>
                      <wp:effectExtent l="0" t="0" r="0" b="0"/>
                      <wp:wrapNone/>
                      <wp:docPr id="30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0" o:spid="_x0000_s1026" style="position:absolute;margin-left:11.05pt;margin-top:7.95pt;width:56.25pt;height:22.2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+U7QEAADIEAAAOAAAAZHJzL2Uyb0RvYy54bWysU82O0zAQviPxDpbvNEmrhRI13QNVuSBY&#10;sXBGrmO3lvwn29u0N56BJ+GCkHiK8EaMp9m0C1wWkYMzY8/3eeab8eL6YDTZixCVsw2tJiUlwnLX&#10;Krtt6McP62dzSmJitmXaWdHQo4j0evn0yaLztZi6ndOtCARIbKw739BdSr4uish3wrA4cV5YOJQu&#10;GJbADduiDawDdqOLaVk+LzoXWh8cFzHC7up0SJfIL6Xg6Z2UUSSiGwq5JVwDrpu8FssFq7eB+Z3i&#10;QxrsH7IwTFm4dKRascTIXVB/UBnFg4tOpgl3pnBSKi6wBqimKn+r5nbHvMBaQJzoR5ni/6Plb/c3&#10;gai2oTOQxzIDPeq//Pzcf+u/9z/6r9XsE4rU+VhD7K2/CSBZ9iKYueKDDCb/oRZyQGGPo7DikAiH&#10;zRfVbD4Hfg5H03mVbWApzmAfYnotnCHZaGiAvqGcbP8mplPofUi+Kzqt2rXSGp2w3bzSgewZ9HhV&#10;rsr1emB/EKYt6Rr68mp6hcwPzuIlRYnf3yiCu7PtKRttIf+zDGiloxY5IW3fCwmaohqYIR/4T4MH&#10;LwO0uB8/UAEBOVBCSY/EDpCMFjjvj8SPILzf2TTijbIuoAwX1WVz49ojjgEKAIOJrRweUZ78Sx9l&#10;Oj/15S8AAAD//wMAUEsDBBQABgAIAAAAIQB1E7Zk3QAAAAgBAAAPAAAAZHJzL2Rvd25yZXYueG1s&#10;TI9BT8MwDIXvSPyHyEjcWLoyKihNJ4RUcULAAMHRa0xb0TghybrCryc7wdF+z8/fq9azGcVEPgyW&#10;FSwXGQji1uqBOwUvz83ZJYgQkTWOlknBNwVY18dHFZba7vmJpk3sRArhUKKCPkZXShnangyGhXXE&#10;Sfuw3mBMo++k9rhP4WaUeZYV0uDA6UOPjm57aj83O5Mwvh7e75sfR9mrM56aR8bp7U6p05P55hpE&#10;pDn+meGAn26gTkxbu2MdxKggz5fJmfYXVyAO+vmqALFVUGQrkHUl/xeofwEAAP//AwBQSwECLQAU&#10;AAYACAAAACEAtoM4kv4AAADhAQAAEwAAAAAAAAAAAAAAAAAAAAAAW0NvbnRlbnRfVHlwZXNdLnht&#10;bFBLAQItABQABgAIAAAAIQA4/SH/1gAAAJQBAAALAAAAAAAAAAAAAAAAAC8BAABfcmVscy8ucmVs&#10;c1BLAQItABQABgAIAAAAIQAqkN+U7QEAADIEAAAOAAAAAAAAAAAAAAAAAC4CAABkcnMvZTJvRG9j&#10;LnhtbFBLAQItABQABgAIAAAAIQB1E7Zk3QAAAAgBAAAPAAAAAAAAAAAAAAAAAEcEAABkcnMvZG93&#10;bnJldi54bWxQSwUGAAAAAAQABADzAAAAUQUAAAAA&#10;" fillcolor="#d0d0ff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111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</w:t>
            </w:r>
            <w:r>
              <w:rPr>
                <w:color w:val="auto"/>
                <w:kern w:val="0"/>
                <w:sz w:val="24"/>
                <w:szCs w:val="24"/>
              </w:rPr>
              <w:t>режимных территорий</w:t>
            </w:r>
          </w:p>
        </w:tc>
      </w:tr>
    </w:tbl>
    <w:p w:rsidR="001174F5" w:rsidRDefault="00906324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1174F5" w:rsidRDefault="001174F5">
      <w:pPr>
        <w:pStyle w:val="a7"/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Жилые зоны.</w:t>
      </w:r>
    </w:p>
    <w:p w:rsidR="001174F5" w:rsidRDefault="00906324">
      <w:pPr>
        <w:pStyle w:val="a7"/>
        <w:rPr>
          <w:b/>
          <w:bCs/>
        </w:rPr>
      </w:pPr>
      <w:r>
        <w:rPr>
          <w:color w:val="auto"/>
          <w:szCs w:val="28"/>
        </w:rPr>
        <w:t xml:space="preserve">Жилые зоны предназначены для размещения различных видов жилых домов,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 и объектов, не оказывающих негативного воздействия на окружающую среду.  </w:t>
      </w:r>
    </w:p>
    <w:p w:rsidR="001174F5" w:rsidRDefault="001174F5">
      <w:pPr>
        <w:pStyle w:val="a7"/>
        <w:rPr>
          <w:szCs w:val="28"/>
        </w:rPr>
      </w:pPr>
    </w:p>
    <w:p w:rsidR="001174F5" w:rsidRDefault="00906324">
      <w:pPr>
        <w:pStyle w:val="a7"/>
      </w:pPr>
      <w:r>
        <w:rPr>
          <w:rStyle w:val="20"/>
          <w:b/>
          <w:bCs/>
        </w:rPr>
        <w:t>Зона специализированной общественной застройки.</w:t>
      </w:r>
    </w:p>
    <w:p w:rsidR="001174F5" w:rsidRDefault="00906324">
      <w:pPr>
        <w:pStyle w:val="a7"/>
        <w:numPr>
          <w:ilvl w:val="0"/>
          <w:numId w:val="2"/>
        </w:numPr>
        <w:ind w:firstLine="567"/>
        <w:contextualSpacing/>
        <w:rPr>
          <w:szCs w:val="28"/>
          <w:lang w:eastAsia="ar-SA"/>
        </w:rPr>
      </w:pPr>
      <w:r>
        <w:rPr>
          <w:szCs w:val="28"/>
          <w:lang w:eastAsia="ar-SA"/>
        </w:rPr>
        <w:t xml:space="preserve">Зона специализированной общественной застройки предназначена для  размещения объектов коммунального и социального обслуживания, объектов </w:t>
      </w:r>
      <w:r>
        <w:rPr>
          <w:szCs w:val="28"/>
          <w:lang w:eastAsia="ru-RU"/>
        </w:rPr>
        <w:t>амбулаторно-поликлинического обслуживания</w:t>
      </w:r>
      <w:r>
        <w:rPr>
          <w:szCs w:val="28"/>
          <w:lang w:eastAsia="ar-SA"/>
        </w:rPr>
        <w:t>, объектов дошкольного, начального общего и среднего общего образования, объектов культуры</w:t>
      </w:r>
      <w:r>
        <w:rPr>
          <w:szCs w:val="28"/>
          <w:lang w:eastAsia="ar-SA"/>
        </w:rPr>
        <w:br/>
        <w:t>и искусства, культовых объектов, административных и научно-исследовательских учреждений, объектов ветеринарного обслуживания, объектов физической культуры и спорта.</w:t>
      </w:r>
    </w:p>
    <w:p w:rsidR="001174F5" w:rsidRDefault="001174F5">
      <w:pPr>
        <w:pStyle w:val="a7"/>
        <w:rPr>
          <w:szCs w:val="28"/>
        </w:rPr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Производственная зона.</w:t>
      </w:r>
    </w:p>
    <w:p w:rsidR="001174F5" w:rsidRDefault="00906324">
      <w:pPr>
        <w:pStyle w:val="a7"/>
        <w:contextualSpacing/>
      </w:pPr>
      <w:r>
        <w:rPr>
          <w:szCs w:val="28"/>
        </w:rPr>
        <w:t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1174F5" w:rsidRDefault="001174F5">
      <w:pPr>
        <w:pStyle w:val="a7"/>
        <w:rPr>
          <w:szCs w:val="28"/>
        </w:rPr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Зона инженерной инфраструктуры.</w:t>
      </w:r>
    </w:p>
    <w:p w:rsidR="001174F5" w:rsidRDefault="00906324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Зона инженерной инфраструктуры предназначена для </w:t>
      </w:r>
      <w:r>
        <w:rPr>
          <w:rFonts w:eastAsia="Calibri"/>
          <w:sz w:val="28"/>
          <w:szCs w:val="28"/>
        </w:rPr>
        <w:t>размещения</w:t>
      </w:r>
      <w:r>
        <w:rPr>
          <w:sz w:val="28"/>
          <w:szCs w:val="28"/>
        </w:rPr>
        <w:t xml:space="preserve">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 эксплуатацией инженерных, технических сооружений.</w:t>
      </w:r>
    </w:p>
    <w:p w:rsidR="001174F5" w:rsidRDefault="001174F5">
      <w:pPr>
        <w:pStyle w:val="a7"/>
        <w:ind w:firstLine="0"/>
      </w:pPr>
    </w:p>
    <w:p w:rsidR="001174F5" w:rsidRDefault="001174F5">
      <w:pPr>
        <w:pStyle w:val="a7"/>
        <w:ind w:firstLine="0"/>
      </w:pPr>
    </w:p>
    <w:p w:rsidR="001174F5" w:rsidRDefault="001174F5">
      <w:pPr>
        <w:pStyle w:val="a7"/>
        <w:ind w:firstLine="0"/>
      </w:pPr>
    </w:p>
    <w:p w:rsidR="001174F5" w:rsidRDefault="001174F5">
      <w:pPr>
        <w:pStyle w:val="a7"/>
        <w:ind w:firstLine="0"/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Зона транспортной инфраструктуры.</w:t>
      </w:r>
    </w:p>
    <w:p w:rsidR="001174F5" w:rsidRDefault="00906324">
      <w:pPr>
        <w:pStyle w:val="a7"/>
        <w:numPr>
          <w:ilvl w:val="0"/>
          <w:numId w:val="2"/>
        </w:numPr>
        <w:ind w:firstLine="567"/>
        <w:contextualSpacing/>
        <w:rPr>
          <w:color w:val="auto"/>
        </w:rPr>
      </w:pPr>
      <w:r>
        <w:rPr>
          <w:color w:val="auto"/>
          <w:szCs w:val="28"/>
        </w:rPr>
        <w:t>Зона транспортной инфраструктуры предназначена для размещения объектов автомобильного, железнодорожного, трубопроводного транспорта, дорожного сервиса, объектов улично-дорожной сети.</w:t>
      </w:r>
    </w:p>
    <w:p w:rsidR="001174F5" w:rsidRDefault="001174F5">
      <w:pPr>
        <w:pStyle w:val="a7"/>
        <w:rPr>
          <w:szCs w:val="28"/>
        </w:rPr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Зона садоводческих или огороднических некоммерческих товариществ.</w:t>
      </w:r>
    </w:p>
    <w:p w:rsidR="001174F5" w:rsidRDefault="00906324">
      <w:pPr>
        <w:pStyle w:val="a7"/>
        <w:spacing w:after="119"/>
        <w:contextualSpacing/>
        <w:rPr>
          <w:szCs w:val="28"/>
        </w:rPr>
      </w:pPr>
      <w:r>
        <w:rPr>
          <w:rFonts w:eastAsia="XO Thames;Times New Roman"/>
          <w:szCs w:val="28"/>
        </w:rPr>
        <w:t>З</w:t>
      </w:r>
      <w:r>
        <w:rPr>
          <w:szCs w:val="28"/>
        </w:rPr>
        <w:t>она садоводческих или огороднических некоммерческих товарище</w:t>
      </w:r>
      <w:proofErr w:type="gramStart"/>
      <w:r>
        <w:rPr>
          <w:szCs w:val="28"/>
        </w:rPr>
        <w:t>ств</w:t>
      </w:r>
      <w:r>
        <w:rPr>
          <w:rFonts w:eastAsia="XO Thames;Times New Roman"/>
          <w:szCs w:val="28"/>
        </w:rPr>
        <w:t xml:space="preserve"> пр</w:t>
      </w:r>
      <w:proofErr w:type="gramEnd"/>
      <w:r>
        <w:rPr>
          <w:rFonts w:eastAsia="XO Thames;Times New Roman"/>
          <w:szCs w:val="28"/>
        </w:rPr>
        <w:t>едназначена для ведения огородничества, ведения садоводства, отдыха и выращивания гражданами для собственных нужд сельскохозяйственных культур</w:t>
      </w:r>
      <w:r>
        <w:rPr>
          <w:rFonts w:eastAsia="XO Thames;Times New Roman"/>
          <w:szCs w:val="28"/>
          <w:lang w:eastAsia="ar-SA"/>
        </w:rPr>
        <w:t>.</w:t>
      </w:r>
    </w:p>
    <w:p w:rsidR="001174F5" w:rsidRDefault="001174F5">
      <w:pPr>
        <w:pStyle w:val="a7"/>
        <w:rPr>
          <w:szCs w:val="28"/>
        </w:rPr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Зоны сельскохозяйственного использования.</w:t>
      </w:r>
    </w:p>
    <w:p w:rsidR="001174F5" w:rsidRDefault="00906324">
      <w:pPr>
        <w:pStyle w:val="a7"/>
        <w:numPr>
          <w:ilvl w:val="0"/>
          <w:numId w:val="2"/>
        </w:numPr>
        <w:ind w:firstLine="567"/>
        <w:contextualSpacing/>
      </w:pPr>
      <w:r>
        <w:rPr>
          <w:rFonts w:eastAsia="Calibri"/>
          <w:szCs w:val="28"/>
          <w:shd w:val="clear" w:color="auto" w:fill="FFFFFF"/>
          <w:lang w:eastAsia="ar-SA"/>
        </w:rPr>
        <w:t>Зоны сельскохозяйственного использования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1174F5" w:rsidRDefault="001174F5">
      <w:pPr>
        <w:pStyle w:val="a7"/>
        <w:numPr>
          <w:ilvl w:val="0"/>
          <w:numId w:val="2"/>
        </w:numPr>
        <w:ind w:firstLine="567"/>
        <w:contextualSpacing/>
        <w:rPr>
          <w:rFonts w:eastAsia="Calibri"/>
          <w:szCs w:val="28"/>
          <w:shd w:val="clear" w:color="auto" w:fill="FFFFFF"/>
          <w:lang w:eastAsia="ar-SA"/>
        </w:rPr>
      </w:pPr>
    </w:p>
    <w:p w:rsidR="001174F5" w:rsidRDefault="00906324">
      <w:pPr>
        <w:pStyle w:val="1"/>
        <w:overflowPunct w:val="0"/>
        <w:spacing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ные зоны сельскохозяйственного назначения.</w:t>
      </w:r>
    </w:p>
    <w:p w:rsidR="001174F5" w:rsidRDefault="00906324">
      <w:pPr>
        <w:pStyle w:val="a7"/>
        <w:numPr>
          <w:ilvl w:val="0"/>
          <w:numId w:val="2"/>
        </w:numPr>
        <w:overflowPunct w:val="0"/>
        <w:spacing w:line="276" w:lineRule="auto"/>
        <w:ind w:firstLine="567"/>
        <w:contextualSpacing/>
        <w:rPr>
          <w:szCs w:val="28"/>
        </w:rPr>
      </w:pPr>
      <w:r>
        <w:rPr>
          <w:rFonts w:eastAsia="Calibri"/>
          <w:spacing w:val="2"/>
          <w:szCs w:val="28"/>
          <w:shd w:val="clear" w:color="auto" w:fill="FFFFFF"/>
          <w:lang w:eastAsia="ar-SA"/>
        </w:rPr>
        <w:t xml:space="preserve">Иные зоны сельскохозяйственного назначения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участках, </w:t>
      </w:r>
      <w:r>
        <w:rPr>
          <w:rFonts w:eastAsia="Calibri"/>
          <w:spacing w:val="2"/>
          <w:kern w:val="0"/>
          <w:szCs w:val="28"/>
          <w:shd w:val="clear" w:color="auto" w:fill="FFFFFF"/>
        </w:rPr>
        <w:t xml:space="preserve">в границах населенного пункта. </w:t>
      </w:r>
    </w:p>
    <w:p w:rsidR="001174F5" w:rsidRDefault="001174F5">
      <w:pPr>
        <w:pStyle w:val="a7"/>
        <w:numPr>
          <w:ilvl w:val="0"/>
          <w:numId w:val="2"/>
        </w:numPr>
        <w:overflowPunct w:val="0"/>
        <w:spacing w:line="276" w:lineRule="auto"/>
        <w:ind w:firstLine="567"/>
        <w:contextualSpacing/>
        <w:rPr>
          <w:szCs w:val="28"/>
        </w:rPr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Производственная зона сельскохозяйственных предприятий.</w:t>
      </w:r>
    </w:p>
    <w:p w:rsidR="001174F5" w:rsidRDefault="00906324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1174F5" w:rsidRDefault="001174F5">
      <w:pPr>
        <w:pStyle w:val="a7"/>
        <w:rPr>
          <w:b/>
          <w:bCs/>
          <w:szCs w:val="28"/>
        </w:rPr>
      </w:pPr>
    </w:p>
    <w:p w:rsidR="001174F5" w:rsidRDefault="00906324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Зоны </w:t>
      </w:r>
      <w:r>
        <w:rPr>
          <w:rFonts w:eastAsia="Calibri"/>
          <w:b/>
          <w:bCs/>
          <w:sz w:val="28"/>
          <w:szCs w:val="28"/>
        </w:rPr>
        <w:t>рекреационного назначения.</w:t>
      </w:r>
    </w:p>
    <w:p w:rsidR="001174F5" w:rsidRDefault="00906324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Зоны рекреационного назначения </w:t>
      </w:r>
      <w:proofErr w:type="gramStart"/>
      <w:r>
        <w:rPr>
          <w:sz w:val="28"/>
          <w:szCs w:val="28"/>
        </w:rPr>
        <w:t>выделена</w:t>
      </w:r>
      <w:proofErr w:type="gramEnd"/>
      <w:r>
        <w:rPr>
          <w:sz w:val="28"/>
          <w:szCs w:val="28"/>
        </w:rPr>
        <w:t xml:space="preserve">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 формирования озелененных участков на территории населенных пунктов. </w:t>
      </w:r>
    </w:p>
    <w:p w:rsidR="001174F5" w:rsidRDefault="001174F5">
      <w:pPr>
        <w:ind w:firstLine="567"/>
        <w:jc w:val="both"/>
        <w:rPr>
          <w:b/>
          <w:bCs/>
          <w:sz w:val="28"/>
          <w:szCs w:val="28"/>
        </w:rPr>
      </w:pPr>
    </w:p>
    <w:p w:rsidR="001174F5" w:rsidRDefault="0090632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Зона отдыха.</w:t>
      </w:r>
    </w:p>
    <w:p w:rsidR="001174F5" w:rsidRDefault="009063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Зоны отдыха выделены для обеспечения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 </w:t>
      </w:r>
    </w:p>
    <w:p w:rsidR="001174F5" w:rsidRDefault="001174F5">
      <w:pPr>
        <w:ind w:firstLine="567"/>
        <w:jc w:val="both"/>
        <w:rPr>
          <w:b/>
          <w:bCs/>
          <w:sz w:val="28"/>
          <w:szCs w:val="28"/>
        </w:rPr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Зона лесов.</w:t>
      </w:r>
    </w:p>
    <w:p w:rsidR="001174F5" w:rsidRDefault="00906324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1174F5" w:rsidRDefault="001174F5">
      <w:pPr>
        <w:pStyle w:val="a7"/>
        <w:rPr>
          <w:szCs w:val="28"/>
        </w:rPr>
      </w:pPr>
    </w:p>
    <w:p w:rsidR="001174F5" w:rsidRDefault="001174F5">
      <w:pPr>
        <w:pStyle w:val="a7"/>
        <w:rPr>
          <w:szCs w:val="28"/>
        </w:rPr>
      </w:pPr>
    </w:p>
    <w:p w:rsidR="001174F5" w:rsidRDefault="00906324">
      <w:pPr>
        <w:pStyle w:val="a7"/>
        <w:rPr>
          <w:b/>
          <w:bCs/>
        </w:rPr>
      </w:pPr>
      <w:r>
        <w:rPr>
          <w:b/>
          <w:bCs/>
        </w:rPr>
        <w:t>Зона кладбищ.</w:t>
      </w:r>
    </w:p>
    <w:p w:rsidR="001174F5" w:rsidRDefault="00906324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Зона кладбищ предназначена для размещения </w:t>
      </w:r>
      <w:r>
        <w:rPr>
          <w:color w:val="auto"/>
          <w:kern w:val="0"/>
          <w:sz w:val="28"/>
          <w:szCs w:val="28"/>
          <w:lang w:eastAsia="ru-RU"/>
        </w:rPr>
        <w:t>к</w:t>
      </w:r>
      <w:r>
        <w:rPr>
          <w:color w:val="auto"/>
          <w:sz w:val="28"/>
          <w:szCs w:val="28"/>
          <w:lang w:eastAsia="ru-RU"/>
        </w:rPr>
        <w:t xml:space="preserve">ладбищ,  мест захоронения и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 </w:t>
      </w:r>
    </w:p>
    <w:p w:rsidR="001174F5" w:rsidRDefault="001174F5">
      <w:pPr>
        <w:pStyle w:val="a7"/>
      </w:pPr>
    </w:p>
    <w:p w:rsidR="001174F5" w:rsidRDefault="00906324">
      <w:pPr>
        <w:pStyle w:val="1"/>
        <w:spacing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Зона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4"/>
          <w:kern w:val="0"/>
          <w:sz w:val="28"/>
          <w:szCs w:val="28"/>
          <w:shd w:val="clear" w:color="auto" w:fill="FFFFFF"/>
        </w:rPr>
        <w:t>режимных территорий.</w:t>
      </w:r>
    </w:p>
    <w:p w:rsidR="001174F5" w:rsidRDefault="00906324">
      <w:pPr>
        <w:pStyle w:val="a7"/>
        <w:spacing w:after="119"/>
        <w:contextualSpacing/>
        <w:outlineLvl w:val="0"/>
      </w:pPr>
      <w:r>
        <w:rPr>
          <w:rFonts w:eastAsia="Arial"/>
          <w:spacing w:val="4"/>
          <w:kern w:val="0"/>
          <w:szCs w:val="28"/>
          <w:lang w:eastAsia="ar-SA"/>
        </w:rPr>
        <w:t>Зона  режимных  территорий предназначена для размещения объектов  уголовно — исполнительной системы РФ, а также объектов</w:t>
      </w:r>
      <w:r>
        <w:rPr>
          <w:rFonts w:eastAsia="XO Thames;Times New Roman"/>
          <w:spacing w:val="4"/>
          <w:kern w:val="0"/>
          <w:szCs w:val="28"/>
          <w:lang w:eastAsia="ar-SA"/>
        </w:rPr>
        <w:t xml:space="preserve"> инженерной и транспортной инфраструктуры для обеспечения их деятельности</w:t>
      </w:r>
      <w:r>
        <w:rPr>
          <w:rFonts w:eastAsia="Arial"/>
          <w:spacing w:val="4"/>
          <w:kern w:val="0"/>
          <w:szCs w:val="28"/>
          <w:lang w:eastAsia="ar-SA"/>
        </w:rPr>
        <w:t>.</w:t>
      </w:r>
    </w:p>
    <w:p w:rsidR="001174F5" w:rsidRDefault="001174F5">
      <w:pPr>
        <w:pStyle w:val="a7"/>
        <w:rPr>
          <w:szCs w:val="28"/>
        </w:rPr>
      </w:pPr>
    </w:p>
    <w:p w:rsidR="001174F5" w:rsidRDefault="00906324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Льговское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1174F5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1174F5" w:rsidRDefault="00906324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906324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1174F5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1174F5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1174F5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4F5" w:rsidRDefault="001174F5">
            <w:pPr>
              <w:widowControl w:val="0"/>
              <w:snapToGrid w:val="0"/>
              <w:rPr>
                <w:bCs/>
              </w:rPr>
            </w:pP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Жилая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491,36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30,47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50,82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2,04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69,51</w:t>
            </w:r>
          </w:p>
        </w:tc>
      </w:tr>
      <w:tr w:rsidR="001174F5">
        <w:trPr>
          <w:trHeight w:hRule="exact" w:val="6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1174F5">
            <w:pPr>
              <w:pStyle w:val="ae"/>
              <w:widowControl w:val="0"/>
              <w:rPr>
                <w:color w:val="auto"/>
              </w:rPr>
            </w:pPr>
          </w:p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224,54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3 723,57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Иная зона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17,15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56,5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10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widowControl w:val="0"/>
              <w:spacing w:before="0" w:after="0"/>
              <w:contextualSpacing/>
              <w:jc w:val="both"/>
            </w:pPr>
            <w:r>
              <w:t xml:space="preserve"> Зоны </w:t>
            </w:r>
            <w:r>
              <w:rPr>
                <w:rFonts w:eastAsia="Calibri"/>
              </w:rPr>
              <w:t>рекреационного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1,66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11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widowControl w:val="0"/>
              <w:spacing w:before="0" w:after="0"/>
              <w:ind w:firstLine="57"/>
              <w:contextualSpacing/>
              <w:jc w:val="both"/>
            </w:pPr>
            <w:r>
              <w:t>Зона отдыха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0,69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12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89,09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13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19,63</w:t>
            </w:r>
          </w:p>
        </w:tc>
      </w:tr>
      <w:tr w:rsidR="001174F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</w:pPr>
            <w:r>
              <w:t>14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ind w:left="57"/>
              <w:jc w:val="left"/>
            </w:pPr>
            <w:r>
              <w:t>Зона режимных территорий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174F5" w:rsidRDefault="00906324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30,00</w:t>
            </w:r>
          </w:p>
        </w:tc>
      </w:tr>
    </w:tbl>
    <w:p w:rsidR="001174F5" w:rsidRDefault="001174F5">
      <w:pPr>
        <w:pStyle w:val="a7"/>
        <w:ind w:firstLine="0"/>
      </w:pPr>
    </w:p>
    <w:p w:rsidR="001174F5" w:rsidRDefault="00906324">
      <w:pPr>
        <w:pStyle w:val="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1174F5" w:rsidRDefault="001174F5">
      <w:pPr>
        <w:pStyle w:val="a7"/>
        <w:rPr>
          <w:color w:val="auto"/>
          <w:szCs w:val="28"/>
        </w:rPr>
      </w:pPr>
    </w:p>
    <w:p w:rsidR="001174F5" w:rsidRDefault="00906324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Льговское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Рязанского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значения.</w:t>
      </w:r>
    </w:p>
    <w:sectPr w:rsidR="001174F5" w:rsidSect="00D82F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BA" w:rsidRDefault="00B068BA">
      <w:pPr>
        <w:spacing w:before="0" w:after="0"/>
      </w:pPr>
      <w:r>
        <w:separator/>
      </w:r>
    </w:p>
  </w:endnote>
  <w:endnote w:type="continuationSeparator" w:id="0">
    <w:p w:rsidR="00B068BA" w:rsidRDefault="00B068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F5" w:rsidRDefault="001174F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F5" w:rsidRDefault="001174F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BA" w:rsidRDefault="00B068BA">
      <w:pPr>
        <w:spacing w:before="0" w:after="0"/>
      </w:pPr>
      <w:r>
        <w:separator/>
      </w:r>
    </w:p>
  </w:footnote>
  <w:footnote w:type="continuationSeparator" w:id="0">
    <w:p w:rsidR="00B068BA" w:rsidRDefault="00B068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F5" w:rsidRDefault="00906324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F63376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F5" w:rsidRDefault="001174F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7F8E"/>
    <w:multiLevelType w:val="multilevel"/>
    <w:tmpl w:val="6F8E17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819AF"/>
    <w:multiLevelType w:val="multilevel"/>
    <w:tmpl w:val="16786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74F5"/>
    <w:rsid w:val="001174F5"/>
    <w:rsid w:val="00906324"/>
    <w:rsid w:val="00AD0FC2"/>
    <w:rsid w:val="00B068BA"/>
    <w:rsid w:val="00C80341"/>
    <w:rsid w:val="00D82F63"/>
    <w:rsid w:val="00F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Segoe UI" w:hAnsi="Times New Roman" w:cs="Tahoma"/>
      <w:b/>
      <w:color w:val="000000"/>
      <w:kern w:val="2"/>
      <w:sz w:val="28"/>
      <w:szCs w:val="20"/>
      <w:lang w:bidi="ar-SA"/>
    </w:rPr>
  </w:style>
  <w:style w:type="paragraph" w:customStyle="1" w:styleId="TableParagraph">
    <w:name w:val="Table Paragraph"/>
    <w:basedOn w:val="Standard"/>
    <w:qFormat/>
    <w:pPr>
      <w:ind w:left="107"/>
    </w:pPr>
    <w:rPr>
      <w:rFonts w:eastAsia="Times New Roman" w:cs="Times New Roman"/>
    </w:rPr>
  </w:style>
  <w:style w:type="paragraph" w:customStyle="1" w:styleId="af7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8">
    <w:name w:val="No Spacing"/>
    <w:qFormat/>
    <w:rPr>
      <w:rFonts w:ascii="Calibri" w:eastAsia="Times New Roman" w:hAnsi="Calibri" w:cs="Calibri"/>
    </w:rPr>
  </w:style>
  <w:style w:type="paragraph" w:styleId="af9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111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Segoe UI" w:hAnsi="Times New Roman" w:cs="Tahoma"/>
      <w:b/>
      <w:color w:val="000000"/>
      <w:kern w:val="2"/>
      <w:sz w:val="28"/>
      <w:szCs w:val="20"/>
      <w:lang w:bidi="ar-SA"/>
    </w:rPr>
  </w:style>
  <w:style w:type="paragraph" w:customStyle="1" w:styleId="TableParagraph">
    <w:name w:val="Table Paragraph"/>
    <w:basedOn w:val="Standard"/>
    <w:qFormat/>
    <w:pPr>
      <w:ind w:left="107"/>
    </w:pPr>
    <w:rPr>
      <w:rFonts w:eastAsia="Times New Roman" w:cs="Times New Roman"/>
    </w:rPr>
  </w:style>
  <w:style w:type="paragraph" w:customStyle="1" w:styleId="af7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8">
    <w:name w:val="No Spacing"/>
    <w:qFormat/>
    <w:rPr>
      <w:rFonts w:ascii="Calibri" w:eastAsia="Times New Roman" w:hAnsi="Calibri" w:cs="Calibri"/>
    </w:rPr>
  </w:style>
  <w:style w:type="paragraph" w:styleId="af9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111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82</cp:revision>
  <cp:lastPrinted>2022-10-27T09:23:00Z</cp:lastPrinted>
  <dcterms:created xsi:type="dcterms:W3CDTF">2022-03-01T17:19:00Z</dcterms:created>
  <dcterms:modified xsi:type="dcterms:W3CDTF">2022-10-27T09:24:00Z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