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.11.2022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«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</w:rPr>
        <w:t>по проекту решения</w:t>
        <w:br/>
        <w:t>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 xml:space="preserve"> предоставлении разрешения  на условно разрешенный вид использования земельн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ого участка с кадастровым номером 62:13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:0010114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607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eastAsia="zh-CN" w:bidi="ar-SA"/>
        </w:rPr>
        <w:t>по адресу:</w:t>
        <w:br/>
      </w: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Российская Федерация, Рязанская область, Рыбновский муниципальный район, Рыбновское городское поселение, город Рыбное, ул. Перспективная,</w:t>
        <w:br/>
        <w:t>участок № 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 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дминистрации муниципального образования — Рыбновский муниципальный район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с 8.00 час. по 17.00 час.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1221</TotalTime>
  <Application>LibreOffice/6.4.4.2$Linux_X86_64 LibreOffice_project/40$Build-2</Application>
  <Pages>2</Pages>
  <Words>695</Words>
  <Characters>5282</Characters>
  <CharactersWithSpaces>6059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2022-11-02T09:24:44Z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