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F8" w:rsidRDefault="00AC5609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bookmarkStart w:id="0" w:name="__RefHeading___3"/>
      <w:bookmarkStart w:id="1" w:name="__RefHeading___7"/>
      <w:bookmarkStart w:id="2" w:name="__RefHeading___9"/>
      <w:bookmarkStart w:id="3" w:name="__RefHeading___10"/>
      <w:bookmarkEnd w:id="0"/>
      <w:bookmarkEnd w:id="1"/>
      <w:bookmarkEnd w:id="2"/>
      <w:bookmarkEnd w:id="3"/>
      <w:r>
        <w:rPr>
          <w:rFonts w:eastAsia="Times New Roman"/>
          <w:spacing w:val="4"/>
          <w:sz w:val="24"/>
          <w:szCs w:val="24"/>
          <w:shd w:val="clear" w:color="FFFFFF" w:fill="FFFFFF"/>
        </w:rPr>
        <w:t>Приложение № 1 к постановлению</w:t>
      </w:r>
    </w:p>
    <w:p w:rsidR="00391AF8" w:rsidRDefault="00AC5609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главного управления архитектуры и</w:t>
      </w:r>
    </w:p>
    <w:p w:rsidR="00391AF8" w:rsidRDefault="00AC5609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градостроительства Рязанской области</w:t>
      </w:r>
    </w:p>
    <w:p w:rsidR="00391AF8" w:rsidRDefault="00B12809">
      <w:pPr>
        <w:pStyle w:val="affe"/>
        <w:widowControl w:val="0"/>
        <w:spacing w:before="0" w:after="0"/>
        <w:ind w:firstLine="5670"/>
        <w:rPr>
          <w:rFonts w:eastAsia="Times New Roman"/>
          <w:spacing w:val="4"/>
          <w:sz w:val="24"/>
          <w:szCs w:val="24"/>
          <w:shd w:val="clear" w:color="FFFFFF" w:fill="FFFFFF"/>
        </w:rPr>
      </w:pPr>
      <w:r>
        <w:rPr>
          <w:rFonts w:eastAsia="Times New Roman"/>
          <w:spacing w:val="4"/>
          <w:sz w:val="24"/>
          <w:szCs w:val="24"/>
          <w:shd w:val="clear" w:color="FFFFFF" w:fill="FFFFFF"/>
        </w:rPr>
        <w:t>от 08 ноября 2022 г.</w:t>
      </w:r>
      <w:r w:rsidR="00AC5609">
        <w:rPr>
          <w:rFonts w:eastAsia="Times New Roman"/>
          <w:spacing w:val="4"/>
          <w:sz w:val="24"/>
          <w:szCs w:val="24"/>
          <w:shd w:val="clear" w:color="FFFFFF" w:fill="FFFFFF"/>
        </w:rPr>
        <w:t xml:space="preserve"> №</w:t>
      </w:r>
      <w:r>
        <w:rPr>
          <w:rFonts w:eastAsia="Times New Roman"/>
          <w:spacing w:val="4"/>
          <w:sz w:val="24"/>
          <w:szCs w:val="24"/>
          <w:shd w:val="clear" w:color="FFFFFF" w:fill="FFFFFF"/>
        </w:rPr>
        <w:t xml:space="preserve"> 647-п</w:t>
      </w:r>
      <w:bookmarkStart w:id="4" w:name="_GoBack"/>
      <w:bookmarkEnd w:id="4"/>
    </w:p>
    <w:p w:rsidR="00391AF8" w:rsidRDefault="00391AF8">
      <w:pPr>
        <w:spacing w:before="0" w:after="0"/>
      </w:pPr>
    </w:p>
    <w:p w:rsidR="00391AF8" w:rsidRDefault="00AC5609">
      <w:pPr>
        <w:pStyle w:val="1"/>
      </w:pPr>
      <w:r>
        <w:rPr>
          <w:b w:val="0"/>
          <w:sz w:val="24"/>
          <w:szCs w:val="24"/>
        </w:rPr>
        <w:t>«</w:t>
      </w:r>
      <w:bookmarkStart w:id="5" w:name="__RefHeading___20"/>
      <w:bookmarkEnd w:id="5"/>
      <w:r>
        <w:t>1) Производственная зона (3.1).</w:t>
      </w:r>
    </w:p>
    <w:p w:rsidR="00391AF8" w:rsidRDefault="00AC5609">
      <w:pPr>
        <w:ind w:firstLine="567"/>
        <w:jc w:val="both"/>
      </w:pPr>
      <w:r>
        <w:rPr>
          <w:rFonts w:cs="Times New Roman"/>
          <w:bCs/>
          <w:sz w:val="28"/>
          <w:szCs w:val="36"/>
          <w:shd w:val="clear" w:color="FFFFFF" w:fill="FFFFFF"/>
          <w:lang w:bidi="ru-RU"/>
        </w:rPr>
        <w:t>Производствен</w:t>
      </w:r>
      <w:r>
        <w:rPr>
          <w:rFonts w:cs="Times New Roman"/>
          <w:bCs/>
          <w:sz w:val="28"/>
          <w:szCs w:val="36"/>
          <w:shd w:val="clear" w:color="FFFFFF" w:fill="FFFFFF"/>
          <w:lang w:bidi="ru-RU"/>
        </w:rPr>
        <w:t>ная зона выделена для обеспечения правовых условий        использования  земельных участков и объектов капитального строительства предприятий, деятельность которых связана с  шумом, загрязнениями, для которых необходима организация санитарно-защитной зоны.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2"/>
        <w:gridCol w:w="4479"/>
        <w:gridCol w:w="3177"/>
      </w:tblGrid>
      <w:tr w:rsidR="00391AF8">
        <w:trPr>
          <w:trHeight w:val="61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вида разрешенного использования</w:t>
            </w:r>
          </w:p>
          <w:p w:rsidR="00391AF8" w:rsidRDefault="00AC5609">
            <w:pPr>
              <w:widowControl w:val="0"/>
              <w:spacing w:before="0"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391AF8">
        <w:trPr>
          <w:trHeight w:val="791"/>
        </w:trPr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производство;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пищевая промышленность;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предпринимательство;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склады;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складские площадки;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коммунальное обслуживание;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гидротехнические сооружения;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хранение автотранспорта;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служебные гаражи.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6.0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6.4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4.0 (4.1-4.10)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6.9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6.9.1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 (3.1.1-3.1.2)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11.3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2.7.1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4.9</w:t>
            </w:r>
          </w:p>
        </w:tc>
      </w:tr>
      <w:tr w:rsidR="00391AF8">
        <w:trPr>
          <w:trHeight w:val="197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rPr>
                <w:rFonts w:cs="Times New Roma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обеспечение научной деятельности;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обеспечение внутреннего правопорядка;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ритуальная деятельность;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специальная деятельность;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амбулаторно-поликлиническое обслуживание;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общественное питание;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гостиничное обслуживание;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магазины;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обеспечение занятий спортом в пом</w:t>
            </w:r>
            <w:r>
              <w:rPr>
                <w:rFonts w:eastAsia="Times New Roman" w:cs="Times New Roman"/>
                <w:szCs w:val="24"/>
                <w:lang w:eastAsia="ru-RU"/>
              </w:rPr>
              <w:t>ещениях;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земельные участки (территории) общего пользование;</w:t>
            </w:r>
          </w:p>
          <w:p w:rsidR="00391AF8" w:rsidRDefault="00AC5609">
            <w:pPr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площадки для занятия спортом.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3.9 (3.9.1-3.9.3)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8.3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12.1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12.2</w:t>
            </w:r>
          </w:p>
          <w:p w:rsidR="00391AF8" w:rsidRDefault="00391AF8">
            <w:pPr>
              <w:widowControl w:val="0"/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91AF8" w:rsidRDefault="00AC5609">
            <w:pPr>
              <w:widowControl w:val="0"/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3.4.1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4.6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4.7</w:t>
            </w:r>
          </w:p>
          <w:p w:rsidR="00391AF8" w:rsidRDefault="00AC5609">
            <w:pPr>
              <w:widowControl w:val="0"/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4.4</w:t>
            </w:r>
          </w:p>
          <w:p w:rsidR="00391AF8" w:rsidRDefault="00391AF8">
            <w:pPr>
              <w:widowControl w:val="0"/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91AF8" w:rsidRDefault="00AC5609">
            <w:pPr>
              <w:widowControl w:val="0"/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5.1.2</w:t>
            </w:r>
          </w:p>
          <w:p w:rsidR="00391AF8" w:rsidRDefault="00391AF8">
            <w:pPr>
              <w:widowControl w:val="0"/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91AF8" w:rsidRDefault="00AC5609">
            <w:pPr>
              <w:widowControl w:val="0"/>
              <w:spacing w:before="0" w:after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12.0 (12.0.1-12.0.2)</w:t>
            </w:r>
          </w:p>
          <w:p w:rsidR="00391AF8" w:rsidRDefault="00AC5609">
            <w:pPr>
              <w:widowControl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5.1.3</w:t>
            </w:r>
          </w:p>
        </w:tc>
      </w:tr>
      <w:tr w:rsidR="00391AF8">
        <w:trPr>
          <w:trHeight w:val="1070"/>
        </w:trPr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rPr>
                <w:rFonts w:cs="Times New Roman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автомобильный транспорт.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91AF8" w:rsidRDefault="00AC5609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7.2 (7.2.1-7.2.3)</w:t>
            </w:r>
          </w:p>
        </w:tc>
      </w:tr>
    </w:tbl>
    <w:p w:rsidR="00391AF8" w:rsidRDefault="00AC5609">
      <w:pPr>
        <w:jc w:val="right"/>
      </w:pPr>
      <w:r>
        <w:t>»</w:t>
      </w:r>
    </w:p>
    <w:sectPr w:rsidR="00391AF8">
      <w:headerReference w:type="default" r:id="rId8"/>
      <w:footerReference w:type="default" r:id="rId9"/>
      <w:pgSz w:w="11906" w:h="16838"/>
      <w:pgMar w:top="1134" w:right="567" w:bottom="1134" w:left="1418" w:header="425" w:footer="4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09" w:rsidRDefault="00AC5609">
      <w:pPr>
        <w:spacing w:before="0" w:after="0"/>
      </w:pPr>
      <w:r>
        <w:separator/>
      </w:r>
    </w:p>
  </w:endnote>
  <w:endnote w:type="continuationSeparator" w:id="0">
    <w:p w:rsidR="00AC5609" w:rsidRDefault="00AC56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opensymbol;arial unicode m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F8" w:rsidRDefault="00391AF8">
    <w:pPr>
      <w:pStyle w:val="aa"/>
      <w:jc w:val="right"/>
      <w:rPr>
        <w:sz w:val="16"/>
        <w:szCs w:val="16"/>
      </w:rPr>
    </w:pPr>
  </w:p>
  <w:p w:rsidR="00391AF8" w:rsidRDefault="00391AF8">
    <w:pPr>
      <w:pStyle w:val="aa"/>
      <w:jc w:val="right"/>
      <w:rPr>
        <w:sz w:val="16"/>
        <w:szCs w:val="16"/>
      </w:rPr>
    </w:pPr>
  </w:p>
  <w:p w:rsidR="00391AF8" w:rsidRDefault="00391AF8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09" w:rsidRDefault="00AC5609">
      <w:pPr>
        <w:spacing w:before="0" w:after="0"/>
      </w:pPr>
      <w:r>
        <w:separator/>
      </w:r>
    </w:p>
  </w:footnote>
  <w:footnote w:type="continuationSeparator" w:id="0">
    <w:p w:rsidR="00AC5609" w:rsidRDefault="00AC56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F8" w:rsidRDefault="00AC5609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50"/>
    <w:multiLevelType w:val="hybridMultilevel"/>
    <w:tmpl w:val="AF9EE3A0"/>
    <w:lvl w:ilvl="0" w:tplc="26200D88">
      <w:start w:val="1"/>
      <w:numFmt w:val="bullet"/>
      <w:lvlText w:val="-"/>
      <w:lvlJc w:val="left"/>
      <w:pPr>
        <w:tabs>
          <w:tab w:val="num" w:pos="0"/>
        </w:tabs>
        <w:ind w:left="535" w:hanging="360"/>
      </w:pPr>
      <w:rPr>
        <w:rFonts w:ascii="Times New Roman" w:hAnsi="Times New Roman" w:cs="Times New Roman" w:hint="default"/>
      </w:rPr>
    </w:lvl>
    <w:lvl w:ilvl="1" w:tplc="641C21C2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 w:tplc="8D2066C6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 w:tplc="2FD8F57C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 w:tplc="4378A1CE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 w:tplc="F564A88A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 w:tplc="46FCC002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 w:tplc="9FEC9ADA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 w:tplc="0310BE46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1">
    <w:nsid w:val="0DF21CD5"/>
    <w:multiLevelType w:val="hybridMultilevel"/>
    <w:tmpl w:val="A4887590"/>
    <w:lvl w:ilvl="0" w:tplc="784C7FD8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 w:tplc="18641AD0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 w:tplc="E7F2E6DA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 w:tplc="F62CA9B6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 w:tplc="173A605C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 w:tplc="0FB60E84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 w:tplc="24E84992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 w:tplc="B3E04668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 w:tplc="8D96513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15AC0F22"/>
    <w:multiLevelType w:val="hybridMultilevel"/>
    <w:tmpl w:val="6778C720"/>
    <w:lvl w:ilvl="0" w:tplc="8CE2365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63DA06CA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E53CB146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38BAB23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436A8C9C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E90C155C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DDB2B4CA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2B3603F8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9EDE433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B895BC3"/>
    <w:multiLevelType w:val="hybridMultilevel"/>
    <w:tmpl w:val="081C7960"/>
    <w:lvl w:ilvl="0" w:tplc="F6885932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2FA05A3C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4296EB88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6540B9B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418ABBBE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D98C8FD4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250CBF4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D7F4484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5D4E03A6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DAE1AC9"/>
    <w:multiLevelType w:val="hybridMultilevel"/>
    <w:tmpl w:val="7B143518"/>
    <w:lvl w:ilvl="0" w:tplc="37C603BC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 w:tplc="8326D06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0FE3A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0D6B3A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9E6CA3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F38100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EBE52C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74EFEF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3582FA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A246D6"/>
    <w:multiLevelType w:val="hybridMultilevel"/>
    <w:tmpl w:val="7BEA5F98"/>
    <w:lvl w:ilvl="0" w:tplc="A33A7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7A9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F29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940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CD0C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D38F4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450AB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7AB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DC8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E350778"/>
    <w:multiLevelType w:val="hybridMultilevel"/>
    <w:tmpl w:val="91842282"/>
    <w:lvl w:ilvl="0" w:tplc="34563E5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1188F44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516C6B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9008DD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8386C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B067D1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D328D4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30ACC2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34A52A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F8"/>
    <w:rsid w:val="00391AF8"/>
    <w:rsid w:val="00A40D5F"/>
    <w:rsid w:val="00AC5609"/>
    <w:rsid w:val="00B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1">
    <w:name w:val="heading 1"/>
    <w:basedOn w:val="a"/>
    <w:next w:val="a"/>
    <w:link w:val="11"/>
    <w:qFormat/>
    <w:pPr>
      <w:keepNext/>
      <w:keepLines/>
      <w:spacing w:line="276" w:lineRule="auto"/>
      <w:ind w:firstLine="567"/>
      <w:outlineLvl w:val="0"/>
    </w:pPr>
    <w:rPr>
      <w:rFonts w:eastAsia="Calibri" w:cs="Tahoma"/>
      <w:b/>
      <w:bCs/>
      <w:sz w:val="28"/>
      <w:szCs w:val="28"/>
      <w:shd w:val="clear" w:color="FFFFFF" w:fill="FFFFFF"/>
    </w:rPr>
  </w:style>
  <w:style w:type="paragraph" w:styleId="2">
    <w:name w:val="heading 2"/>
    <w:basedOn w:val="a"/>
    <w:next w:val="a"/>
    <w:link w:val="21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 w:after="0"/>
      <w:ind w:firstLine="567"/>
      <w:outlineLvl w:val="2"/>
    </w:pPr>
    <w:rPr>
      <w:rFonts w:ascii="Cambria" w:eastAsia="Calibri" w:hAnsi="Cambria" w:cs="Tahom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pPr>
      <w:tabs>
        <w:tab w:val="left" w:pos="4320"/>
      </w:tabs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1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1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1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23">
    <w:name w:val="Верхний колонтитул Знак2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FFFFFF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f6">
    <w:name w:val="Основной текст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/>
      <w:sz w:val="24"/>
      <w:szCs w:val="24"/>
    </w:rPr>
  </w:style>
  <w:style w:type="character" w:customStyle="1" w:styleId="32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2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25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f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a">
    <w:name w:val="Заголовок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текст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Ссылка указателя"/>
    <w:qFormat/>
  </w:style>
  <w:style w:type="character" w:customStyle="1" w:styleId="afd">
    <w:name w:val="Символ нумерации"/>
    <w:qFormat/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aff">
    <w:name w:val="Посещённая гиперссылка"/>
    <w:rPr>
      <w:color w:val="800080"/>
      <w:u w:val="single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26">
    <w:name w:val="Основной шрифт абзаца2"/>
    <w:qFormat/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1">
    <w:name w:val="Body Text"/>
    <w:basedOn w:val="a"/>
    <w:pPr>
      <w:spacing w:before="0" w:after="120"/>
    </w:pPr>
  </w:style>
  <w:style w:type="paragraph" w:styleId="aff2">
    <w:name w:val="List"/>
    <w:basedOn w:val="aff1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4">
    <w:name w:val="index heading"/>
    <w:basedOn w:val="aff0"/>
    <w:pPr>
      <w:suppressLineNumbers/>
    </w:pPr>
    <w:rPr>
      <w:b/>
      <w:bCs/>
      <w:sz w:val="32"/>
      <w:szCs w:val="32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5">
    <w:name w:val="Статьи"/>
    <w:basedOn w:val="a"/>
    <w:qFormat/>
    <w:pPr>
      <w:keepNext/>
      <w:shd w:val="clear" w:color="FFFFFF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7">
    <w:name w:val="No Spacing"/>
    <w:qFormat/>
    <w:rPr>
      <w:rFonts w:eastAsia="Times New Roman" w:cs="Times New Roman"/>
    </w:rPr>
  </w:style>
  <w:style w:type="paragraph" w:customStyle="1" w:styleId="FORMATTEXT">
    <w:name w:val=".FORMATTEXT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!!!"/>
    <w:basedOn w:val="aff1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">
    <w:name w:val="Стиль1"/>
    <w:basedOn w:val="3"/>
    <w:qFormat/>
    <w:pPr>
      <w:spacing w:before="60" w:after="120"/>
      <w:ind w:firstLine="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Normal (Web)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styleId="affa">
    <w:name w:val="List Paragraph"/>
    <w:basedOn w:val="a"/>
    <w:qFormat/>
    <w:pPr>
      <w:spacing w:before="0" w:after="0"/>
      <w:ind w:left="720" w:firstLine="709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affb">
    <w:name w:val="Верхний и нижний колонтитулы"/>
    <w:basedOn w:val="a"/>
    <w:qFormat/>
  </w:style>
  <w:style w:type="paragraph" w:styleId="a9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24"/>
    <w:pPr>
      <w:tabs>
        <w:tab w:val="center" w:pos="4677"/>
        <w:tab w:val="right" w:pos="9355"/>
      </w:tabs>
    </w:pPr>
  </w:style>
  <w:style w:type="paragraph" w:styleId="affc">
    <w:name w:val="TOC Heading"/>
    <w:basedOn w:val="1"/>
    <w:next w:val="a"/>
    <w:qFormat/>
    <w:pPr>
      <w:spacing w:before="480" w:after="0"/>
    </w:pPr>
    <w:rPr>
      <w:rFonts w:ascii="Cambria" w:hAnsi="Cambria"/>
      <w:color w:val="365F91"/>
      <w:shd w:val="clear" w:color="auto" w:fill="auto"/>
    </w:rPr>
  </w:style>
  <w:style w:type="paragraph" w:styleId="16">
    <w:name w:val="toc 1"/>
    <w:basedOn w:val="a"/>
    <w:next w:val="a"/>
    <w:pPr>
      <w:spacing w:before="0"/>
    </w:pPr>
  </w:style>
  <w:style w:type="paragraph" w:styleId="27">
    <w:name w:val="toc 2"/>
    <w:basedOn w:val="a"/>
    <w:next w:val="a"/>
    <w:pPr>
      <w:spacing w:before="0"/>
      <w:ind w:left="220" w:firstLine="709"/>
    </w:pPr>
  </w:style>
  <w:style w:type="paragraph" w:styleId="33">
    <w:name w:val="toc 3"/>
    <w:basedOn w:val="a"/>
    <w:next w:val="a"/>
    <w:pPr>
      <w:spacing w:before="0"/>
      <w:ind w:left="440" w:firstLine="709"/>
    </w:pPr>
  </w:style>
  <w:style w:type="paragraph" w:styleId="affd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a4">
    <w:name w:val="Title"/>
    <w:basedOn w:val="a"/>
    <w:next w:val="a"/>
    <w:link w:val="a3"/>
    <w:qFormat/>
    <w:pPr>
      <w:jc w:val="center"/>
    </w:pPr>
    <w:rPr>
      <w:rFonts w:eastAsia="Times New Roman" w:cs="Times New Roman"/>
      <w:b/>
      <w:sz w:val="28"/>
      <w:lang w:eastAsia="ru-RU"/>
    </w:rPr>
  </w:style>
  <w:style w:type="paragraph" w:styleId="42">
    <w:name w:val="toc 4"/>
    <w:basedOn w:val="a"/>
    <w:next w:val="a"/>
    <w:pPr>
      <w:spacing w:before="0" w:line="276" w:lineRule="auto"/>
      <w:ind w:left="660"/>
    </w:pPr>
    <w:rPr>
      <w:rFonts w:eastAsia="Calibri"/>
      <w:lang w:eastAsia="ru-RU"/>
    </w:rPr>
  </w:style>
  <w:style w:type="paragraph" w:styleId="52">
    <w:name w:val="toc 5"/>
    <w:basedOn w:val="a"/>
    <w:next w:val="a"/>
    <w:pPr>
      <w:spacing w:before="0" w:line="276" w:lineRule="auto"/>
      <w:ind w:left="880"/>
    </w:pPr>
    <w:rPr>
      <w:rFonts w:eastAsia="Calibri"/>
      <w:lang w:eastAsia="ru-RU"/>
    </w:rPr>
  </w:style>
  <w:style w:type="paragraph" w:styleId="62">
    <w:name w:val="toc 6"/>
    <w:basedOn w:val="a"/>
    <w:next w:val="a"/>
    <w:pPr>
      <w:spacing w:before="0" w:line="276" w:lineRule="auto"/>
      <w:ind w:left="1100"/>
    </w:pPr>
    <w:rPr>
      <w:rFonts w:eastAsia="Calibri"/>
      <w:lang w:eastAsia="ru-RU"/>
    </w:rPr>
  </w:style>
  <w:style w:type="paragraph" w:styleId="72">
    <w:name w:val="toc 7"/>
    <w:basedOn w:val="a"/>
    <w:next w:val="a"/>
    <w:pPr>
      <w:spacing w:before="0" w:line="276" w:lineRule="auto"/>
      <w:ind w:left="1320"/>
    </w:pPr>
    <w:rPr>
      <w:rFonts w:eastAsia="Calibri"/>
      <w:lang w:eastAsia="ru-RU"/>
    </w:rPr>
  </w:style>
  <w:style w:type="paragraph" w:styleId="82">
    <w:name w:val="toc 8"/>
    <w:basedOn w:val="a"/>
    <w:next w:val="a"/>
    <w:pPr>
      <w:spacing w:before="0" w:line="276" w:lineRule="auto"/>
      <w:ind w:left="1540"/>
    </w:pPr>
    <w:rPr>
      <w:rFonts w:eastAsia="Calibri"/>
      <w:lang w:eastAsia="ru-RU"/>
    </w:rPr>
  </w:style>
  <w:style w:type="paragraph" w:styleId="92">
    <w:name w:val="toc 9"/>
    <w:basedOn w:val="a"/>
    <w:next w:val="a"/>
    <w:pPr>
      <w:spacing w:before="0" w:line="276" w:lineRule="auto"/>
      <w:ind w:left="1760"/>
    </w:pPr>
    <w:rPr>
      <w:rFonts w:eastAsia="Calibri"/>
      <w:lang w:eastAsia="ru-RU"/>
    </w:rPr>
  </w:style>
  <w:style w:type="paragraph" w:customStyle="1" w:styleId="affe">
    <w:name w:val="текст"/>
    <w:basedOn w:val="a"/>
    <w:qFormat/>
    <w:pPr>
      <w:spacing w:before="120" w:after="120"/>
    </w:pPr>
    <w:rPr>
      <w:rFonts w:eastAsia="Calibri" w:cs="Times New Roman"/>
      <w:sz w:val="28"/>
      <w:szCs w:val="28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afff1">
    <w:name w:val="toa heading"/>
    <w:basedOn w:val="aff4"/>
    <w:qFormat/>
  </w:style>
  <w:style w:type="paragraph" w:customStyle="1" w:styleId="afff2">
    <w:name w:val="Верхний колонтитул слева"/>
    <w:basedOn w:val="a9"/>
    <w:qFormat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qFormat/>
  </w:style>
  <w:style w:type="paragraph" w:styleId="28">
    <w:name w:val="Body Text Indent 2"/>
    <w:basedOn w:val="a"/>
    <w:qFormat/>
    <w:pPr>
      <w:spacing w:before="0" w:after="120" w:line="480" w:lineRule="auto"/>
      <w:ind w:left="283"/>
    </w:pPr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1">
    <w:name w:val="heading 1"/>
    <w:basedOn w:val="a"/>
    <w:next w:val="a"/>
    <w:link w:val="11"/>
    <w:qFormat/>
    <w:pPr>
      <w:keepNext/>
      <w:keepLines/>
      <w:spacing w:line="276" w:lineRule="auto"/>
      <w:ind w:firstLine="567"/>
      <w:outlineLvl w:val="0"/>
    </w:pPr>
    <w:rPr>
      <w:rFonts w:eastAsia="Calibri" w:cs="Tahoma"/>
      <w:b/>
      <w:bCs/>
      <w:sz w:val="28"/>
      <w:szCs w:val="28"/>
      <w:shd w:val="clear" w:color="FFFFFF" w:fill="FFFFFF"/>
    </w:rPr>
  </w:style>
  <w:style w:type="paragraph" w:styleId="2">
    <w:name w:val="heading 2"/>
    <w:basedOn w:val="a"/>
    <w:next w:val="a"/>
    <w:link w:val="21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 w:after="0"/>
      <w:ind w:firstLine="567"/>
      <w:outlineLvl w:val="2"/>
    </w:pPr>
    <w:rPr>
      <w:rFonts w:ascii="Cambria" w:eastAsia="Calibri" w:hAnsi="Cambria" w:cs="Tahom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1"/>
    <w:qFormat/>
    <w:pPr>
      <w:tabs>
        <w:tab w:val="left" w:pos="4320"/>
      </w:tabs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1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1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1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23">
    <w:name w:val="Верхний колонтитул Знак2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24">
    <w:name w:val="Нижний колонтитул Знак2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FFFFFF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qFormat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!!! Знак1"/>
    <w:qFormat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f6">
    <w:name w:val="Основной текст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0">
    <w:name w:val="Знак Знак3"/>
    <w:qFormat/>
    <w:rPr>
      <w:rFonts w:ascii="Times New Roman" w:hAnsi="Times New Roman"/>
      <w:sz w:val="24"/>
      <w:szCs w:val="24"/>
    </w:rPr>
  </w:style>
  <w:style w:type="character" w:customStyle="1" w:styleId="32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comment">
    <w:name w:val="comment"/>
    <w:basedOn w:val="a0"/>
    <w:qFormat/>
  </w:style>
  <w:style w:type="character" w:customStyle="1" w:styleId="12">
    <w:name w:val="Заголовок 1 Знак"/>
    <w:basedOn w:val="a0"/>
    <w:qFormat/>
    <w:rPr>
      <w:rFonts w:ascii="Times New Roman" w:eastAsia="Calibri" w:hAnsi="Times New Roman" w:cs="Tahoma"/>
      <w:b/>
      <w:bCs/>
      <w:sz w:val="28"/>
      <w:szCs w:val="28"/>
    </w:r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25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lang w:val="en-US"/>
    </w:rPr>
  </w:style>
  <w:style w:type="character" w:customStyle="1" w:styleId="af9">
    <w:name w:val="Схема документа Знак"/>
    <w:basedOn w:val="a0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a">
    <w:name w:val="Заголовок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текст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Ссылка указателя"/>
    <w:qFormat/>
  </w:style>
  <w:style w:type="character" w:customStyle="1" w:styleId="afd">
    <w:name w:val="Символ нумерации"/>
    <w:qFormat/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aff">
    <w:name w:val="Посещённая гиперссылка"/>
    <w:rPr>
      <w:color w:val="800080"/>
      <w:u w:val="single"/>
    </w:rPr>
  </w:style>
  <w:style w:type="character" w:customStyle="1" w:styleId="13">
    <w:name w:val="Верхний колонтитул Знак1"/>
    <w:basedOn w:val="a0"/>
    <w:qFormat/>
    <w:rPr>
      <w:sz w:val="22"/>
    </w:rPr>
  </w:style>
  <w:style w:type="character" w:customStyle="1" w:styleId="14">
    <w:name w:val="Нижний колонтитул Знак1"/>
    <w:basedOn w:val="a0"/>
    <w:qFormat/>
    <w:rPr>
      <w:sz w:val="22"/>
    </w:rPr>
  </w:style>
  <w:style w:type="character" w:customStyle="1" w:styleId="26">
    <w:name w:val="Основной шрифт абзаца2"/>
    <w:qFormat/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1">
    <w:name w:val="Body Text"/>
    <w:basedOn w:val="a"/>
    <w:pPr>
      <w:spacing w:before="0" w:after="120"/>
    </w:pPr>
  </w:style>
  <w:style w:type="paragraph" w:styleId="aff2">
    <w:name w:val="List"/>
    <w:basedOn w:val="aff1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4">
    <w:name w:val="index heading"/>
    <w:basedOn w:val="aff0"/>
    <w:pPr>
      <w:suppressLineNumbers/>
    </w:pPr>
    <w:rPr>
      <w:b/>
      <w:bCs/>
      <w:sz w:val="32"/>
      <w:szCs w:val="32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5">
    <w:name w:val="Статьи"/>
    <w:basedOn w:val="a"/>
    <w:qFormat/>
    <w:pPr>
      <w:keepNext/>
      <w:shd w:val="clear" w:color="FFFFFF" w:fill="FFFFFF"/>
      <w:tabs>
        <w:tab w:val="left" w:pos="8334"/>
      </w:tabs>
      <w:ind w:left="1814" w:hanging="1247"/>
    </w:pPr>
    <w:rPr>
      <w:rFonts w:eastAsia="Calibri" w:cs="Times New Roman"/>
      <w:bCs/>
      <w:sz w:val="28"/>
      <w:szCs w:val="28"/>
    </w:rPr>
  </w:style>
  <w:style w:type="paragraph" w:customStyle="1" w:styleId="Main0">
    <w:name w:val="Main"/>
    <w:basedOn w:val="a"/>
    <w:qFormat/>
    <w:rPr>
      <w:rFonts w:eastAsia="Calibri" w:cs="Times New Roman"/>
      <w:sz w:val="28"/>
      <w:szCs w:val="28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7">
    <w:name w:val="No Spacing"/>
    <w:qFormat/>
    <w:rPr>
      <w:rFonts w:eastAsia="Times New Roman" w:cs="Times New Roman"/>
    </w:rPr>
  </w:style>
  <w:style w:type="paragraph" w:customStyle="1" w:styleId="FORMATTEXT">
    <w:name w:val=".FORMATTEXT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!!!"/>
    <w:basedOn w:val="aff1"/>
    <w:qFormat/>
    <w:pPr>
      <w:spacing w:before="120" w:after="0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">
    <w:name w:val="Стиль1"/>
    <w:basedOn w:val="3"/>
    <w:qFormat/>
    <w:pPr>
      <w:spacing w:before="60" w:after="120"/>
      <w:ind w:firstLine="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9">
    <w:name w:val="Normal (Web)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styleId="affa">
    <w:name w:val="List Paragraph"/>
    <w:basedOn w:val="a"/>
    <w:qFormat/>
    <w:pPr>
      <w:spacing w:before="0" w:after="0"/>
      <w:ind w:left="720" w:firstLine="709"/>
      <w:contextualSpacing/>
    </w:pPr>
  </w:style>
  <w:style w:type="paragraph" w:customStyle="1" w:styleId="formattext0">
    <w:name w:val="formattext"/>
    <w:basedOn w:val="a"/>
    <w:qFormat/>
    <w:pPr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affb">
    <w:name w:val="Верхний и нижний колонтитулы"/>
    <w:basedOn w:val="a"/>
    <w:qFormat/>
  </w:style>
  <w:style w:type="paragraph" w:styleId="a9">
    <w:name w:val="header"/>
    <w:basedOn w:val="a"/>
    <w:link w:val="2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24"/>
    <w:pPr>
      <w:tabs>
        <w:tab w:val="center" w:pos="4677"/>
        <w:tab w:val="right" w:pos="9355"/>
      </w:tabs>
    </w:pPr>
  </w:style>
  <w:style w:type="paragraph" w:styleId="affc">
    <w:name w:val="TOC Heading"/>
    <w:basedOn w:val="1"/>
    <w:next w:val="a"/>
    <w:qFormat/>
    <w:pPr>
      <w:spacing w:before="480" w:after="0"/>
    </w:pPr>
    <w:rPr>
      <w:rFonts w:ascii="Cambria" w:hAnsi="Cambria"/>
      <w:color w:val="365F91"/>
      <w:shd w:val="clear" w:color="auto" w:fill="auto"/>
    </w:rPr>
  </w:style>
  <w:style w:type="paragraph" w:styleId="16">
    <w:name w:val="toc 1"/>
    <w:basedOn w:val="a"/>
    <w:next w:val="a"/>
    <w:pPr>
      <w:spacing w:before="0"/>
    </w:pPr>
  </w:style>
  <w:style w:type="paragraph" w:styleId="27">
    <w:name w:val="toc 2"/>
    <w:basedOn w:val="a"/>
    <w:next w:val="a"/>
    <w:pPr>
      <w:spacing w:before="0"/>
      <w:ind w:left="220" w:firstLine="709"/>
    </w:pPr>
  </w:style>
  <w:style w:type="paragraph" w:styleId="33">
    <w:name w:val="toc 3"/>
    <w:basedOn w:val="a"/>
    <w:next w:val="a"/>
    <w:pPr>
      <w:spacing w:before="0"/>
      <w:ind w:left="440" w:firstLine="709"/>
    </w:pPr>
  </w:style>
  <w:style w:type="paragraph" w:styleId="affd">
    <w:name w:val="Document Map"/>
    <w:basedOn w:val="a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a4">
    <w:name w:val="Title"/>
    <w:basedOn w:val="a"/>
    <w:next w:val="a"/>
    <w:link w:val="a3"/>
    <w:qFormat/>
    <w:pPr>
      <w:jc w:val="center"/>
    </w:pPr>
    <w:rPr>
      <w:rFonts w:eastAsia="Times New Roman" w:cs="Times New Roman"/>
      <w:b/>
      <w:sz w:val="28"/>
      <w:lang w:eastAsia="ru-RU"/>
    </w:rPr>
  </w:style>
  <w:style w:type="paragraph" w:styleId="42">
    <w:name w:val="toc 4"/>
    <w:basedOn w:val="a"/>
    <w:next w:val="a"/>
    <w:pPr>
      <w:spacing w:before="0" w:line="276" w:lineRule="auto"/>
      <w:ind w:left="660"/>
    </w:pPr>
    <w:rPr>
      <w:rFonts w:eastAsia="Calibri"/>
      <w:lang w:eastAsia="ru-RU"/>
    </w:rPr>
  </w:style>
  <w:style w:type="paragraph" w:styleId="52">
    <w:name w:val="toc 5"/>
    <w:basedOn w:val="a"/>
    <w:next w:val="a"/>
    <w:pPr>
      <w:spacing w:before="0" w:line="276" w:lineRule="auto"/>
      <w:ind w:left="880"/>
    </w:pPr>
    <w:rPr>
      <w:rFonts w:eastAsia="Calibri"/>
      <w:lang w:eastAsia="ru-RU"/>
    </w:rPr>
  </w:style>
  <w:style w:type="paragraph" w:styleId="62">
    <w:name w:val="toc 6"/>
    <w:basedOn w:val="a"/>
    <w:next w:val="a"/>
    <w:pPr>
      <w:spacing w:before="0" w:line="276" w:lineRule="auto"/>
      <w:ind w:left="1100"/>
    </w:pPr>
    <w:rPr>
      <w:rFonts w:eastAsia="Calibri"/>
      <w:lang w:eastAsia="ru-RU"/>
    </w:rPr>
  </w:style>
  <w:style w:type="paragraph" w:styleId="72">
    <w:name w:val="toc 7"/>
    <w:basedOn w:val="a"/>
    <w:next w:val="a"/>
    <w:pPr>
      <w:spacing w:before="0" w:line="276" w:lineRule="auto"/>
      <w:ind w:left="1320"/>
    </w:pPr>
    <w:rPr>
      <w:rFonts w:eastAsia="Calibri"/>
      <w:lang w:eastAsia="ru-RU"/>
    </w:rPr>
  </w:style>
  <w:style w:type="paragraph" w:styleId="82">
    <w:name w:val="toc 8"/>
    <w:basedOn w:val="a"/>
    <w:next w:val="a"/>
    <w:pPr>
      <w:spacing w:before="0" w:line="276" w:lineRule="auto"/>
      <w:ind w:left="1540"/>
    </w:pPr>
    <w:rPr>
      <w:rFonts w:eastAsia="Calibri"/>
      <w:lang w:eastAsia="ru-RU"/>
    </w:rPr>
  </w:style>
  <w:style w:type="paragraph" w:styleId="92">
    <w:name w:val="toc 9"/>
    <w:basedOn w:val="a"/>
    <w:next w:val="a"/>
    <w:pPr>
      <w:spacing w:before="0" w:line="276" w:lineRule="auto"/>
      <w:ind w:left="1760"/>
    </w:pPr>
    <w:rPr>
      <w:rFonts w:eastAsia="Calibri"/>
      <w:lang w:eastAsia="ru-RU"/>
    </w:rPr>
  </w:style>
  <w:style w:type="paragraph" w:customStyle="1" w:styleId="affe">
    <w:name w:val="текст"/>
    <w:basedOn w:val="a"/>
    <w:qFormat/>
    <w:pPr>
      <w:spacing w:before="120" w:after="120"/>
    </w:pPr>
    <w:rPr>
      <w:rFonts w:eastAsia="Calibri" w:cs="Times New Roman"/>
      <w:sz w:val="28"/>
      <w:szCs w:val="28"/>
    </w:rPr>
  </w:style>
  <w:style w:type="paragraph" w:customStyle="1" w:styleId="afff">
    <w:name w:val="Содержимое таблицы"/>
    <w:basedOn w:val="a"/>
    <w:qFormat/>
    <w:pPr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afff1">
    <w:name w:val="toa heading"/>
    <w:basedOn w:val="aff4"/>
    <w:qFormat/>
  </w:style>
  <w:style w:type="paragraph" w:customStyle="1" w:styleId="afff2">
    <w:name w:val="Верхний колонтитул слева"/>
    <w:basedOn w:val="a9"/>
    <w:qFormat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qFormat/>
  </w:style>
  <w:style w:type="paragraph" w:styleId="28">
    <w:name w:val="Body Text Indent 2"/>
    <w:basedOn w:val="a"/>
    <w:qFormat/>
    <w:pPr>
      <w:spacing w:before="0" w:after="120" w:line="480" w:lineRule="auto"/>
      <w:ind w:left="283"/>
    </w:p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02.07.2021)(с изм. и доп., вступ. в силу с 01.10.2021)</vt:lpstr>
    </vt:vector>
  </TitlesOfParts>
  <Company>КонсультантПлюс Версия 4021.00.29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02.07.2021)(с изм. и доп., вступ. в силу с 01.10.2021)</dc:title>
  <dc:creator>1</dc:creator>
  <cp:lastModifiedBy>wiadmin</cp:lastModifiedBy>
  <cp:revision>310</cp:revision>
  <cp:lastPrinted>2022-11-09T08:32:00Z</cp:lastPrinted>
  <dcterms:created xsi:type="dcterms:W3CDTF">2021-10-25T12:27:00Z</dcterms:created>
  <dcterms:modified xsi:type="dcterms:W3CDTF">2022-11-09T08:32:00Z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