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59" w:rsidRPr="008E2024" w:rsidRDefault="00980A2F" w:rsidP="00971CE2">
      <w:pPr>
        <w:widowControl w:val="0"/>
        <w:tabs>
          <w:tab w:val="left" w:pos="683"/>
        </w:tabs>
        <w:ind w:left="5812"/>
        <w:jc w:val="both"/>
        <w:rPr>
          <w:rStyle w:val="20"/>
          <w:rFonts w:eastAsia="Arial" w:cs="Liberation Serif;Times New Roma"/>
          <w:bCs/>
          <w:lang w:eastAsia="hi-IN" w:bidi="ru-RU"/>
        </w:rPr>
      </w:pPr>
      <w:r w:rsidRPr="008E2024">
        <w:rPr>
          <w:rStyle w:val="20"/>
          <w:rFonts w:eastAsia="Arial" w:cs="Liberation Serif;Times New Roma"/>
          <w:bCs/>
          <w:lang w:eastAsia="hi-IN" w:bidi="ru-RU"/>
        </w:rPr>
        <w:t>Приложение № 2 к постановлению</w:t>
      </w:r>
    </w:p>
    <w:p w:rsidR="00980A2F" w:rsidRPr="008E2024" w:rsidRDefault="00980A2F" w:rsidP="00971CE2">
      <w:pPr>
        <w:widowControl w:val="0"/>
        <w:tabs>
          <w:tab w:val="left" w:pos="683"/>
        </w:tabs>
        <w:ind w:left="5812"/>
        <w:jc w:val="both"/>
        <w:rPr>
          <w:rStyle w:val="20"/>
          <w:rFonts w:eastAsia="Arial" w:cs="Liberation Serif;Times New Roma"/>
          <w:bCs/>
          <w:lang w:eastAsia="hi-IN" w:bidi="ru-RU"/>
        </w:rPr>
      </w:pPr>
      <w:r w:rsidRPr="008E2024">
        <w:rPr>
          <w:rStyle w:val="20"/>
          <w:rFonts w:eastAsia="Arial" w:cs="Liberation Serif;Times New Roma"/>
          <w:bCs/>
          <w:lang w:eastAsia="hi-IN" w:bidi="ru-RU"/>
        </w:rPr>
        <w:t>главного управления архитектуры и</w:t>
      </w:r>
    </w:p>
    <w:p w:rsidR="00980A2F" w:rsidRPr="008E2024" w:rsidRDefault="00980A2F" w:rsidP="00971CE2">
      <w:pPr>
        <w:widowControl w:val="0"/>
        <w:tabs>
          <w:tab w:val="left" w:pos="683"/>
        </w:tabs>
        <w:ind w:left="5812"/>
        <w:jc w:val="both"/>
        <w:rPr>
          <w:rStyle w:val="20"/>
          <w:rFonts w:eastAsia="Arial" w:cs="Liberation Serif;Times New Roma"/>
          <w:bCs/>
          <w:lang w:eastAsia="hi-IN" w:bidi="ru-RU"/>
        </w:rPr>
      </w:pPr>
      <w:r w:rsidRPr="008E2024">
        <w:rPr>
          <w:rStyle w:val="20"/>
          <w:rFonts w:eastAsia="Arial" w:cs="Liberation Serif;Times New Roma"/>
          <w:bCs/>
          <w:lang w:eastAsia="hi-IN" w:bidi="ru-RU"/>
        </w:rPr>
        <w:t>градостроительства Рязанской области</w:t>
      </w:r>
    </w:p>
    <w:p w:rsidR="00980A2F" w:rsidRPr="008E2024" w:rsidRDefault="00421087" w:rsidP="00971CE2">
      <w:pPr>
        <w:widowControl w:val="0"/>
        <w:tabs>
          <w:tab w:val="left" w:pos="683"/>
        </w:tabs>
        <w:ind w:left="5812"/>
        <w:jc w:val="both"/>
        <w:rPr>
          <w:rStyle w:val="20"/>
          <w:rFonts w:eastAsia="Arial" w:cs="Liberation Serif;Times New Roma"/>
          <w:bCs/>
          <w:lang w:eastAsia="hi-IN" w:bidi="ru-RU"/>
        </w:rPr>
      </w:pPr>
      <w:r>
        <w:rPr>
          <w:rStyle w:val="20"/>
          <w:rFonts w:eastAsia="Arial" w:cs="Liberation Serif;Times New Roma"/>
          <w:bCs/>
          <w:lang w:eastAsia="hi-IN" w:bidi="ru-RU"/>
        </w:rPr>
        <w:t>от 09 декабря 2022 г.</w:t>
      </w:r>
      <w:r w:rsidR="00980A2F" w:rsidRPr="008E2024">
        <w:rPr>
          <w:rStyle w:val="20"/>
          <w:rFonts w:eastAsia="Arial" w:cs="Liberation Serif;Times New Roma"/>
          <w:bCs/>
          <w:lang w:eastAsia="hi-IN" w:bidi="ru-RU"/>
        </w:rPr>
        <w:t xml:space="preserve"> №</w:t>
      </w:r>
      <w:r>
        <w:rPr>
          <w:rStyle w:val="20"/>
          <w:rFonts w:eastAsia="Arial" w:cs="Liberation Serif;Times New Roma"/>
          <w:bCs/>
          <w:lang w:eastAsia="hi-IN" w:bidi="ru-RU"/>
        </w:rPr>
        <w:t xml:space="preserve"> 760-п</w:t>
      </w:r>
      <w:bookmarkStart w:id="0" w:name="_GoBack"/>
      <w:bookmarkEnd w:id="0"/>
    </w:p>
    <w:p w:rsidR="00980A2F" w:rsidRPr="00290659" w:rsidRDefault="00980A2F" w:rsidP="00290659">
      <w:pPr>
        <w:widowControl w:val="0"/>
        <w:tabs>
          <w:tab w:val="left" w:pos="683"/>
        </w:tabs>
        <w:ind w:firstLine="567"/>
        <w:jc w:val="both"/>
        <w:rPr>
          <w:rStyle w:val="20"/>
          <w:rFonts w:eastAsia="Arial" w:cs="Liberation Serif;Times New Roma"/>
          <w:bCs/>
          <w:sz w:val="28"/>
          <w:szCs w:val="28"/>
          <w:lang w:eastAsia="hi-IN" w:bidi="ru-RU"/>
        </w:rPr>
      </w:pPr>
    </w:p>
    <w:p w:rsidR="00256EA0" w:rsidRDefault="004B7B15">
      <w:pPr>
        <w:widowControl w:val="0"/>
        <w:tabs>
          <w:tab w:val="left" w:pos="683"/>
        </w:tabs>
        <w:spacing w:before="100" w:after="100"/>
        <w:ind w:firstLine="567"/>
        <w:jc w:val="both"/>
        <w:rPr>
          <w:rFonts w:hint="eastAsia"/>
        </w:rPr>
      </w:pPr>
      <w:r w:rsidRPr="004B7B15">
        <w:rPr>
          <w:rStyle w:val="20"/>
          <w:rFonts w:eastAsia="Arial" w:cs="Liberation Serif;Times New Roma"/>
          <w:bCs/>
          <w:lang w:eastAsia="hi-IN" w:bidi="ru-RU"/>
        </w:rPr>
        <w:t>«</w:t>
      </w:r>
      <w:r w:rsidR="006A008C">
        <w:rPr>
          <w:rStyle w:val="20"/>
          <w:rFonts w:eastAsia="Arial" w:cs="Liberation Serif;Times New Roma"/>
          <w:b/>
          <w:bCs/>
          <w:sz w:val="28"/>
          <w:szCs w:val="28"/>
          <w:lang w:eastAsia="hi-IN" w:bidi="ru-RU"/>
        </w:rPr>
        <w:t>2.2. Параметры функциональных зон.</w:t>
      </w:r>
    </w:p>
    <w:p w:rsidR="00256EA0" w:rsidRDefault="006A008C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параметрами функциональных зон, на территории муниципального образования, приняты показатели, с учетом, установленных в пункте 9.8 Методических рекомендаций по разработке проектов генеральных планов поселений и городских округов, утвержденных приказом </w:t>
      </w:r>
      <w:proofErr w:type="spellStart"/>
      <w:r>
        <w:rPr>
          <w:sz w:val="28"/>
          <w:szCs w:val="28"/>
        </w:rPr>
        <w:t>Минрегиона</w:t>
      </w:r>
      <w:proofErr w:type="spellEnd"/>
      <w:r>
        <w:rPr>
          <w:sz w:val="28"/>
          <w:szCs w:val="28"/>
        </w:rPr>
        <w:t xml:space="preserve"> РФ от 26.05.2011 № 244. </w:t>
      </w:r>
    </w:p>
    <w:p w:rsidR="00256EA0" w:rsidRDefault="006A008C">
      <w:pPr>
        <w:spacing w:line="276" w:lineRule="auto"/>
        <w:ind w:firstLine="567"/>
        <w:jc w:val="both"/>
        <w:textAlignment w:val="baseline"/>
        <w:rPr>
          <w:rFonts w:hint="eastAsia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Границы, характеристики и параметры функциональных зон подлежат учету </w:t>
      </w:r>
      <w:proofErr w:type="gramStart"/>
      <w:r>
        <w:rPr>
          <w:color w:val="000000"/>
          <w:sz w:val="28"/>
          <w:szCs w:val="28"/>
          <w:lang w:eastAsia="ar-SA"/>
        </w:rPr>
        <w:t>при</w:t>
      </w:r>
      <w:proofErr w:type="gramEnd"/>
      <w:r>
        <w:rPr>
          <w:color w:val="000000"/>
          <w:sz w:val="28"/>
          <w:szCs w:val="28"/>
          <w:lang w:eastAsia="ar-SA"/>
        </w:rPr>
        <w:t xml:space="preserve">: </w:t>
      </w:r>
    </w:p>
    <w:p w:rsidR="00256EA0" w:rsidRDefault="006A008C">
      <w:pPr>
        <w:spacing w:line="276" w:lineRule="auto"/>
        <w:ind w:firstLine="567"/>
        <w:jc w:val="both"/>
        <w:textAlignment w:val="baseline"/>
        <w:rPr>
          <w:rFonts w:hint="eastAsia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1) </w:t>
      </w:r>
      <w:proofErr w:type="gramStart"/>
      <w:r>
        <w:rPr>
          <w:color w:val="000000"/>
          <w:sz w:val="28"/>
          <w:szCs w:val="28"/>
          <w:lang w:eastAsia="ar-SA"/>
        </w:rPr>
        <w:t>определении</w:t>
      </w:r>
      <w:proofErr w:type="gramEnd"/>
      <w:r>
        <w:rPr>
          <w:color w:val="000000"/>
          <w:sz w:val="28"/>
          <w:szCs w:val="28"/>
          <w:lang w:eastAsia="ar-SA"/>
        </w:rPr>
        <w:t xml:space="preserve"> градостроительных регламентов, подготавливаемых как предложения о внесении изменений в правила землепользования и застройки, целесообразность которых следует из Генерального плана; </w:t>
      </w:r>
    </w:p>
    <w:p w:rsidR="00256EA0" w:rsidRDefault="006A008C">
      <w:pPr>
        <w:spacing w:line="276" w:lineRule="auto"/>
        <w:ind w:firstLine="567"/>
        <w:jc w:val="both"/>
        <w:textAlignment w:val="baseline"/>
        <w:rPr>
          <w:rFonts w:hint="eastAsia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2) подготовке местных нормативов градостроительного проектирования на основании и с учетом расчетных показателей Генерального плана; </w:t>
      </w:r>
    </w:p>
    <w:p w:rsidR="00256EA0" w:rsidRDefault="006A008C">
      <w:pPr>
        <w:spacing w:line="276" w:lineRule="auto"/>
        <w:ind w:firstLine="567"/>
        <w:jc w:val="both"/>
        <w:textAlignment w:val="baseline"/>
        <w:rPr>
          <w:rFonts w:hint="eastAsia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3) подготовке Муниципальных программ социально-экономического развития, в том числе в отношении развития муниципальной инфраструктуры, подготовке иных актов и документов, регулирующих развитие муниципального образования; </w:t>
      </w:r>
    </w:p>
    <w:p w:rsidR="00256EA0" w:rsidRDefault="006A008C">
      <w:pPr>
        <w:tabs>
          <w:tab w:val="left" w:pos="683"/>
        </w:tabs>
        <w:spacing w:line="276" w:lineRule="auto"/>
        <w:ind w:firstLine="567"/>
        <w:jc w:val="both"/>
        <w:textAlignment w:val="baseline"/>
        <w:rPr>
          <w:rFonts w:hint="eastAsia"/>
          <w:color w:val="000000"/>
          <w:sz w:val="28"/>
          <w:szCs w:val="28"/>
          <w:lang w:eastAsia="ar-SA"/>
        </w:rPr>
      </w:pPr>
      <w:r>
        <w:rPr>
          <w:rStyle w:val="20"/>
          <w:rFonts w:eastAsia="Arial" w:cs="Liberation Serif;Times New Roma"/>
          <w:color w:val="000000"/>
          <w:sz w:val="28"/>
          <w:szCs w:val="28"/>
          <w:lang w:eastAsia="ar-SA" w:bidi="ru-RU"/>
        </w:rPr>
        <w:t xml:space="preserve">4) подготовке документации по планировке территории. </w:t>
      </w:r>
    </w:p>
    <w:p w:rsidR="00256EA0" w:rsidRDefault="006A008C">
      <w:pPr>
        <w:widowControl w:val="0"/>
        <w:tabs>
          <w:tab w:val="left" w:pos="683"/>
        </w:tabs>
        <w:spacing w:after="102" w:line="276" w:lineRule="auto"/>
        <w:ind w:firstLine="567"/>
        <w:jc w:val="both"/>
        <w:rPr>
          <w:rFonts w:hint="eastAsia"/>
        </w:rPr>
      </w:pPr>
      <w:r>
        <w:rPr>
          <w:sz w:val="28"/>
          <w:szCs w:val="28"/>
          <w:lang w:eastAsia="ar-SA"/>
        </w:rPr>
        <w:t xml:space="preserve">В генеральном плане муниципального образования - </w:t>
      </w:r>
      <w:proofErr w:type="spellStart"/>
      <w:r>
        <w:rPr>
          <w:rFonts w:eastAsia="Times New Roman" w:cs="Liberation Serif;Times New Roma"/>
          <w:color w:val="000000"/>
          <w:sz w:val="28"/>
          <w:szCs w:val="28"/>
          <w:lang w:eastAsia="ar-SA" w:bidi="ru-RU"/>
        </w:rPr>
        <w:t>Батьковское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rFonts w:eastAsia="Times New Roman" w:cs="Liberation Serif;Times New Roma"/>
          <w:color w:val="000000"/>
          <w:sz w:val="28"/>
          <w:szCs w:val="28"/>
          <w:lang w:eastAsia="ar-SA" w:bidi="ru-RU"/>
        </w:rPr>
        <w:t>Сасовского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 Рязанской области выделены следующие функциональные зоны, для которых определены площади соответствующего функционального назначения: </w:t>
      </w:r>
    </w:p>
    <w:tbl>
      <w:tblPr>
        <w:tblW w:w="10227" w:type="dxa"/>
        <w:jc w:val="center"/>
        <w:tblLayout w:type="fixed"/>
        <w:tblLook w:val="0000" w:firstRow="0" w:lastRow="0" w:firstColumn="0" w:lastColumn="0" w:noHBand="0" w:noVBand="0"/>
      </w:tblPr>
      <w:tblGrid>
        <w:gridCol w:w="1644"/>
        <w:gridCol w:w="6219"/>
        <w:gridCol w:w="2364"/>
      </w:tblGrid>
      <w:tr w:rsidR="00256EA0">
        <w:trPr>
          <w:tblHeader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hint="eastAsia"/>
              </w:rPr>
            </w:pPr>
            <w:r>
              <w:rPr>
                <w:lang w:val="en-US"/>
              </w:rPr>
              <w:t>№</w:t>
            </w:r>
            <w:r>
              <w:rPr>
                <w:rFonts w:eastAsia="Times New Roman" w:cs="Times New Roman"/>
                <w:lang w:val="en-US"/>
              </w:rPr>
              <w:t xml:space="preserve"> </w:t>
            </w:r>
            <w:r>
              <w:rPr>
                <w:lang w:val="en-US"/>
              </w:rPr>
              <w:t>п/п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Наименование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зоны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hint="eastAsia"/>
                <w:lang w:val="en-US"/>
              </w:rPr>
            </w:pPr>
            <w:proofErr w:type="spellStart"/>
            <w:r>
              <w:rPr>
                <w:lang w:val="en-US"/>
              </w:rPr>
              <w:t>Площадь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га</w:t>
            </w:r>
            <w:proofErr w:type="spellEnd"/>
          </w:p>
        </w:tc>
      </w:tr>
      <w:tr w:rsidR="00256EA0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eastAsia="Times New Roman"/>
                <w:color w:val="000000"/>
                <w:lang w:eastAsia="ar-SA"/>
              </w:rPr>
            </w:pPr>
            <w:r>
              <w:rPr>
                <w:rFonts w:eastAsia="Times New Roman"/>
                <w:color w:val="000000"/>
                <w:lang w:eastAsia="ar-SA"/>
              </w:rPr>
              <w:t>1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EA0" w:rsidRDefault="006A008C">
            <w:pPr>
              <w:widowControl w:val="0"/>
              <w:spacing w:before="100" w:after="100"/>
              <w:rPr>
                <w:rFonts w:hint="eastAsia"/>
              </w:rPr>
            </w:pPr>
            <w:r>
              <w:t>Зона застройки индивидуальными жилыми домами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A0" w:rsidRDefault="006A008C">
            <w:pPr>
              <w:widowControl w:val="0"/>
              <w:snapToGrid w:val="0"/>
              <w:spacing w:before="100" w:after="100"/>
              <w:jc w:val="center"/>
              <w:rPr>
                <w:rFonts w:ascii="Times New Roman" w:eastAsia="Arial" w:hAnsi="Times New Roman" w:cs="Liberation Serif;Times New Roma"/>
                <w:color w:val="000000"/>
                <w:lang w:eastAsia="hi-IN" w:bidi="ru-RU"/>
              </w:rPr>
            </w:pPr>
            <w:r>
              <w:rPr>
                <w:rFonts w:eastAsia="Arial" w:cs="Liberation Serif;Times New Roma"/>
                <w:color w:val="000000"/>
                <w:lang w:eastAsia="hi-IN" w:bidi="ru-RU"/>
              </w:rPr>
              <w:t>485,53</w:t>
            </w:r>
          </w:p>
        </w:tc>
      </w:tr>
      <w:tr w:rsidR="00256EA0">
        <w:trPr>
          <w:jc w:val="center"/>
        </w:trPr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Times New Roman" w:hAnsi="Times New Roman" w:cs="Liberation Serif;Times New Roma"/>
                <w:color w:val="000000"/>
                <w:lang w:eastAsia="ar-SA" w:bidi="ru-RU"/>
              </w:rPr>
            </w:pPr>
            <w:r>
              <w:rPr>
                <w:rFonts w:eastAsia="Times New Roman" w:cs="Liberation Serif;Times New Roma"/>
                <w:color w:val="000000"/>
                <w:lang w:eastAsia="ar-SA" w:bidi="ru-RU"/>
              </w:rPr>
              <w:t>2</w:t>
            </w:r>
          </w:p>
        </w:tc>
        <w:tc>
          <w:tcPr>
            <w:tcW w:w="6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6EA0" w:rsidRDefault="006A008C">
            <w:pPr>
              <w:widowControl w:val="0"/>
              <w:spacing w:before="100" w:after="100"/>
              <w:rPr>
                <w:rFonts w:hint="eastAsia"/>
              </w:rPr>
            </w:pPr>
            <w:r>
              <w:t>Зона застройки малоэтажными жилыми домами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Arial" w:hAnsi="Times New Roman" w:cs="Liberation Serif;Times New Roma"/>
                <w:lang w:eastAsia="hi-IN" w:bidi="ru-RU"/>
              </w:rPr>
            </w:pPr>
            <w:r>
              <w:rPr>
                <w:rFonts w:eastAsia="Arial" w:cs="Liberation Serif;Times New Roma"/>
                <w:color w:val="000000"/>
                <w:lang w:eastAsia="hi-IN" w:bidi="ru-RU"/>
              </w:rPr>
              <w:t>1,46</w:t>
            </w:r>
          </w:p>
        </w:tc>
      </w:tr>
      <w:tr w:rsidR="00256EA0">
        <w:trPr>
          <w:jc w:val="center"/>
        </w:trPr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Times New Roman" w:hAnsi="Times New Roman" w:cs="Liberation Serif;Times New Roma"/>
                <w:color w:val="000000"/>
                <w:lang w:eastAsia="ar-SA" w:bidi="ru-RU"/>
              </w:rPr>
            </w:pPr>
            <w:r>
              <w:rPr>
                <w:rFonts w:eastAsia="Times New Roman" w:cs="Liberation Serif;Times New Roma"/>
                <w:color w:val="000000"/>
                <w:lang w:eastAsia="ar-SA" w:bidi="ru-RU"/>
              </w:rPr>
              <w:t>3</w:t>
            </w:r>
          </w:p>
        </w:tc>
        <w:tc>
          <w:tcPr>
            <w:tcW w:w="6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6EA0" w:rsidRDefault="006A008C">
            <w:pPr>
              <w:widowControl w:val="0"/>
              <w:spacing w:before="100" w:after="100"/>
              <w:rPr>
                <w:rFonts w:hint="eastAsia"/>
              </w:rPr>
            </w:pPr>
            <w:r>
              <w:t>Многофункциональная общественно-деловая зона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Arial" w:hAnsi="Times New Roman" w:cs="Liberation Serif;Times New Roma"/>
                <w:lang w:eastAsia="hi-IN" w:bidi="ru-RU"/>
              </w:rPr>
            </w:pPr>
            <w:r>
              <w:rPr>
                <w:rFonts w:eastAsia="Arial" w:cs="Liberation Serif;Times New Roma"/>
                <w:color w:val="000000"/>
                <w:lang w:eastAsia="hi-IN" w:bidi="ru-RU"/>
              </w:rPr>
              <w:t>0,35</w:t>
            </w:r>
          </w:p>
        </w:tc>
      </w:tr>
      <w:tr w:rsidR="00256EA0">
        <w:trPr>
          <w:jc w:val="center"/>
        </w:trPr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Times New Roman" w:hAnsi="Times New Roman" w:cs="Liberation Serif;Times New Roma"/>
                <w:color w:val="000000"/>
                <w:lang w:eastAsia="ar-SA" w:bidi="ru-RU"/>
              </w:rPr>
            </w:pPr>
            <w:r>
              <w:rPr>
                <w:rFonts w:eastAsia="Times New Roman" w:cs="Liberation Serif;Times New Roma"/>
                <w:color w:val="000000"/>
                <w:lang w:eastAsia="ar-SA" w:bidi="ru-RU"/>
              </w:rPr>
              <w:t>4</w:t>
            </w:r>
          </w:p>
        </w:tc>
        <w:tc>
          <w:tcPr>
            <w:tcW w:w="6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6EA0" w:rsidRDefault="006A008C">
            <w:pPr>
              <w:widowControl w:val="0"/>
              <w:spacing w:before="100" w:after="100"/>
              <w:rPr>
                <w:rFonts w:hint="eastAsia"/>
              </w:rPr>
            </w:pPr>
            <w:r>
              <w:t>Зона специализированной общественной застройки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A0" w:rsidRDefault="006A008C">
            <w:pPr>
              <w:widowControl w:val="0"/>
              <w:snapToGrid w:val="0"/>
              <w:spacing w:before="100" w:after="100"/>
              <w:jc w:val="center"/>
              <w:rPr>
                <w:rFonts w:ascii="Times New Roman" w:eastAsia="Arial" w:hAnsi="Times New Roman" w:cs="Liberation Serif;Times New Roma"/>
                <w:lang w:eastAsia="hi-IN" w:bidi="ru-RU"/>
              </w:rPr>
            </w:pPr>
            <w:r>
              <w:rPr>
                <w:rFonts w:eastAsia="Arial" w:cs="Liberation Serif;Times New Roma"/>
                <w:color w:val="000000"/>
                <w:lang w:eastAsia="hi-IN" w:bidi="ru-RU"/>
              </w:rPr>
              <w:t>3,11</w:t>
            </w:r>
          </w:p>
        </w:tc>
      </w:tr>
      <w:tr w:rsidR="00256EA0">
        <w:trPr>
          <w:jc w:val="center"/>
        </w:trPr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Times New Roman" w:hAnsi="Times New Roman" w:cs="Liberation Serif;Times New Roma"/>
                <w:color w:val="000000"/>
                <w:lang w:eastAsia="ar-SA" w:bidi="ru-RU"/>
              </w:rPr>
            </w:pPr>
            <w:r>
              <w:rPr>
                <w:rFonts w:eastAsia="Times New Roman" w:cs="Liberation Serif;Times New Roma"/>
                <w:color w:val="000000"/>
                <w:lang w:eastAsia="ar-SA" w:bidi="ru-RU"/>
              </w:rPr>
              <w:t>5</w:t>
            </w:r>
          </w:p>
        </w:tc>
        <w:tc>
          <w:tcPr>
            <w:tcW w:w="6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6EA0" w:rsidRDefault="006A008C">
            <w:pPr>
              <w:widowControl w:val="0"/>
              <w:spacing w:before="100" w:after="100"/>
              <w:rPr>
                <w:rFonts w:hint="eastAsia"/>
              </w:rPr>
            </w:pPr>
            <w:r>
              <w:t>Производственная зона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A0" w:rsidRDefault="006A008C">
            <w:pPr>
              <w:widowControl w:val="0"/>
              <w:snapToGrid w:val="0"/>
              <w:spacing w:before="100" w:after="100"/>
              <w:jc w:val="center"/>
              <w:rPr>
                <w:rFonts w:ascii="Times New Roman" w:eastAsia="Arial" w:hAnsi="Times New Roman" w:cs="Liberation Serif;Times New Roma"/>
                <w:lang w:eastAsia="hi-IN" w:bidi="ru-RU"/>
              </w:rPr>
            </w:pPr>
            <w:r>
              <w:rPr>
                <w:rFonts w:eastAsia="Arial" w:cs="Liberation Serif;Times New Roma"/>
                <w:color w:val="000000"/>
                <w:lang w:eastAsia="hi-IN" w:bidi="ru-RU"/>
              </w:rPr>
              <w:t>12,64</w:t>
            </w:r>
          </w:p>
        </w:tc>
      </w:tr>
      <w:tr w:rsidR="00256EA0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Times New Roman" w:hAnsi="Times New Roman" w:cs="Liberation Serif;Times New Roma"/>
                <w:color w:val="000000"/>
                <w:lang w:eastAsia="ar-SA" w:bidi="ru-RU"/>
              </w:rPr>
            </w:pPr>
            <w:r>
              <w:rPr>
                <w:rFonts w:eastAsia="Times New Roman" w:cs="Liberation Serif;Times New Roma"/>
                <w:color w:val="000000"/>
                <w:lang w:eastAsia="ar-SA" w:bidi="ru-RU"/>
              </w:rPr>
              <w:t>6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EA0" w:rsidRDefault="006A008C">
            <w:pPr>
              <w:widowControl w:val="0"/>
              <w:spacing w:before="100" w:after="100"/>
              <w:rPr>
                <w:rFonts w:hint="eastAsia"/>
              </w:rPr>
            </w:pPr>
            <w:r>
              <w:t>Зона инженерной инфраструктуры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Arial" w:hAnsi="Times New Roman" w:cs="Liberation Serif;Times New Roma"/>
                <w:lang w:eastAsia="hi-IN" w:bidi="ru-RU"/>
              </w:rPr>
            </w:pPr>
            <w:r>
              <w:rPr>
                <w:rFonts w:eastAsia="Arial" w:cs="Liberation Serif;Times New Roma"/>
                <w:color w:val="000000"/>
                <w:lang w:eastAsia="hi-IN" w:bidi="ru-RU"/>
              </w:rPr>
              <w:t>0,52</w:t>
            </w:r>
          </w:p>
        </w:tc>
      </w:tr>
      <w:tr w:rsidR="00256EA0">
        <w:trPr>
          <w:jc w:val="center"/>
        </w:trPr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Times New Roman" w:hAnsi="Times New Roman" w:cs="Liberation Serif;Times New Roma"/>
                <w:color w:val="000000"/>
                <w:lang w:eastAsia="ar-SA" w:bidi="ru-RU"/>
              </w:rPr>
            </w:pPr>
            <w:r>
              <w:rPr>
                <w:rFonts w:eastAsia="Times New Roman" w:cs="Liberation Serif;Times New Roma"/>
                <w:color w:val="000000"/>
                <w:lang w:eastAsia="ar-SA" w:bidi="ru-RU"/>
              </w:rPr>
              <w:t>7</w:t>
            </w:r>
          </w:p>
        </w:tc>
        <w:tc>
          <w:tcPr>
            <w:tcW w:w="6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6EA0" w:rsidRDefault="006A008C">
            <w:pPr>
              <w:widowControl w:val="0"/>
              <w:spacing w:before="100" w:after="100"/>
              <w:rPr>
                <w:rFonts w:hint="eastAsia"/>
              </w:rPr>
            </w:pPr>
            <w:r>
              <w:t>Зона транспортной инфраструктуры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Arial" w:hAnsi="Times New Roman" w:cs="Liberation Serif;Times New Roma"/>
                <w:lang w:eastAsia="hi-IN" w:bidi="ru-RU"/>
              </w:rPr>
            </w:pPr>
            <w:r>
              <w:rPr>
                <w:rFonts w:eastAsia="Arial" w:cs="Liberation Serif;Times New Roma"/>
                <w:color w:val="000000"/>
                <w:lang w:eastAsia="hi-IN" w:bidi="ru-RU"/>
              </w:rPr>
              <w:t>98,90</w:t>
            </w:r>
          </w:p>
        </w:tc>
      </w:tr>
      <w:tr w:rsidR="00256EA0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Times New Roman" w:hAnsi="Times New Roman" w:cs="Liberation Serif;Times New Roma"/>
                <w:color w:val="000000"/>
                <w:lang w:eastAsia="ar-SA" w:bidi="ru-RU"/>
              </w:rPr>
            </w:pPr>
            <w:r>
              <w:rPr>
                <w:rFonts w:eastAsia="Times New Roman" w:cs="Liberation Serif;Times New Roma"/>
                <w:color w:val="000000"/>
                <w:lang w:eastAsia="ar-SA" w:bidi="ru-RU"/>
              </w:rPr>
              <w:t>8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6EA0" w:rsidRDefault="006A008C">
            <w:pPr>
              <w:widowControl w:val="0"/>
              <w:spacing w:before="100" w:after="100"/>
              <w:rPr>
                <w:rFonts w:hint="eastAsia"/>
              </w:rPr>
            </w:pPr>
            <w:r>
              <w:t>Зоны сельскохозяйственного использования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hint="eastAsia"/>
              </w:rPr>
            </w:pPr>
            <w:r>
              <w:rPr>
                <w:rFonts w:eastAsia="Arial" w:cs="Liberation Serif;Times New Roma"/>
                <w:color w:val="000000"/>
                <w:lang w:eastAsia="hi-IN" w:bidi="ru-RU"/>
              </w:rPr>
              <w:t>6119,38</w:t>
            </w:r>
          </w:p>
        </w:tc>
      </w:tr>
      <w:tr w:rsidR="00256EA0">
        <w:trPr>
          <w:jc w:val="center"/>
        </w:trPr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Arial" w:hAnsi="Times New Roman" w:cs="Liberation Serif;Times New Roma"/>
                <w:lang w:eastAsia="hi-IN" w:bidi="ru-RU"/>
              </w:rPr>
            </w:pPr>
            <w:r>
              <w:rPr>
                <w:rFonts w:eastAsia="Arial" w:cs="Liberation Serif;Times New Roma"/>
                <w:lang w:eastAsia="hi-IN" w:bidi="ru-RU"/>
              </w:rPr>
              <w:lastRenderedPageBreak/>
              <w:t>9</w:t>
            </w:r>
          </w:p>
        </w:tc>
        <w:tc>
          <w:tcPr>
            <w:tcW w:w="6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6EA0" w:rsidRDefault="006A008C">
            <w:pPr>
              <w:pStyle w:val="11"/>
              <w:widowControl w:val="0"/>
              <w:spacing w:before="100" w:after="100"/>
            </w:pPr>
            <w:r>
              <w:rPr>
                <w:sz w:val="24"/>
              </w:rPr>
              <w:t>Иные зоны сельскохозяйственного назначения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Arial" w:hAnsi="Times New Roman" w:cs="Liberation Serif;Times New Roma"/>
                <w:lang w:eastAsia="hi-IN" w:bidi="ru-RU"/>
              </w:rPr>
            </w:pPr>
            <w:r>
              <w:rPr>
                <w:rFonts w:eastAsia="Arial" w:cs="Liberation Serif;Times New Roma"/>
                <w:color w:val="000000"/>
                <w:lang w:eastAsia="hi-IN" w:bidi="ru-RU"/>
              </w:rPr>
              <w:t>427,47</w:t>
            </w:r>
          </w:p>
        </w:tc>
      </w:tr>
      <w:tr w:rsidR="00256EA0">
        <w:trPr>
          <w:jc w:val="center"/>
        </w:trPr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Arial" w:hAnsi="Times New Roman" w:cs="Liberation Serif;Times New Roma"/>
                <w:lang w:eastAsia="hi-IN" w:bidi="ru-RU"/>
              </w:rPr>
            </w:pPr>
            <w:r>
              <w:rPr>
                <w:rFonts w:eastAsia="Arial" w:cs="Liberation Serif;Times New Roma"/>
                <w:lang w:eastAsia="hi-IN" w:bidi="ru-RU"/>
              </w:rPr>
              <w:t>10</w:t>
            </w:r>
          </w:p>
        </w:tc>
        <w:tc>
          <w:tcPr>
            <w:tcW w:w="6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6EA0" w:rsidRDefault="006A008C">
            <w:pPr>
              <w:widowControl w:val="0"/>
              <w:spacing w:before="100" w:after="100"/>
              <w:rPr>
                <w:rFonts w:ascii="Times New Roman" w:eastAsia="Arial" w:hAnsi="Times New Roman" w:cs="Liberation Serif;Times New Roma"/>
                <w:lang w:eastAsia="hi-IN" w:bidi="ru-RU"/>
              </w:rPr>
            </w:pPr>
            <w:r>
              <w:rPr>
                <w:rFonts w:eastAsia="Arial" w:cs="Liberation Serif;Times New Roma"/>
                <w:lang w:eastAsia="hi-IN" w:bidi="ru-RU"/>
              </w:rPr>
              <w:t>Производственная зона сельскохозяйственных предприятий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Arial" w:hAnsi="Times New Roman" w:cs="Liberation Serif;Times New Roma"/>
                <w:lang w:eastAsia="hi-IN" w:bidi="ru-RU"/>
              </w:rPr>
            </w:pPr>
            <w:r>
              <w:rPr>
                <w:rFonts w:eastAsia="Arial" w:cs="Liberation Serif;Times New Roma"/>
                <w:color w:val="000000"/>
                <w:lang w:eastAsia="hi-IN" w:bidi="ru-RU"/>
              </w:rPr>
              <w:t>17,38</w:t>
            </w:r>
          </w:p>
        </w:tc>
      </w:tr>
      <w:tr w:rsidR="00256EA0">
        <w:trPr>
          <w:jc w:val="center"/>
        </w:trPr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Arial" w:hAnsi="Times New Roman" w:cs="Liberation Serif;Times New Roma"/>
                <w:lang w:eastAsia="hi-IN" w:bidi="ru-RU"/>
              </w:rPr>
            </w:pPr>
            <w:r>
              <w:rPr>
                <w:rFonts w:eastAsia="Arial" w:cs="Liberation Serif;Times New Roma"/>
                <w:lang w:eastAsia="hi-IN" w:bidi="ru-RU"/>
              </w:rPr>
              <w:t>11</w:t>
            </w:r>
          </w:p>
        </w:tc>
        <w:tc>
          <w:tcPr>
            <w:tcW w:w="6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6EA0" w:rsidRDefault="006A008C">
            <w:pPr>
              <w:widowControl w:val="0"/>
              <w:spacing w:before="100" w:after="100"/>
              <w:rPr>
                <w:rFonts w:hint="eastAsia"/>
              </w:rPr>
            </w:pPr>
            <w:r>
              <w:t>Зона рекреационного назначения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Arial" w:hAnsi="Times New Roman" w:cs="Liberation Serif;Times New Roma"/>
                <w:lang w:eastAsia="hi-IN" w:bidi="ru-RU"/>
              </w:rPr>
            </w:pPr>
            <w:r>
              <w:rPr>
                <w:rFonts w:eastAsia="Arial" w:cs="Liberation Serif;Times New Roma"/>
                <w:color w:val="000000"/>
                <w:lang w:eastAsia="hi-IN" w:bidi="ru-RU"/>
              </w:rPr>
              <w:t>223,36</w:t>
            </w:r>
          </w:p>
        </w:tc>
      </w:tr>
      <w:tr w:rsidR="00256EA0">
        <w:trPr>
          <w:jc w:val="center"/>
        </w:trPr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Arial" w:hAnsi="Times New Roman" w:cs="Liberation Serif;Times New Roma"/>
                <w:lang w:eastAsia="hi-IN" w:bidi="ru-RU"/>
              </w:rPr>
            </w:pPr>
            <w:r>
              <w:rPr>
                <w:rFonts w:eastAsia="Arial" w:cs="Liberation Serif;Times New Roma"/>
                <w:lang w:eastAsia="hi-IN" w:bidi="ru-RU"/>
              </w:rPr>
              <w:t>12</w:t>
            </w:r>
          </w:p>
        </w:tc>
        <w:tc>
          <w:tcPr>
            <w:tcW w:w="6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6EA0" w:rsidRDefault="006A008C">
            <w:pPr>
              <w:widowControl w:val="0"/>
              <w:spacing w:before="100" w:after="100"/>
              <w:rPr>
                <w:rFonts w:hint="eastAsia"/>
              </w:rPr>
            </w:pPr>
            <w:r>
              <w:t>Зона отдыха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Arial" w:hAnsi="Times New Roman" w:cs="Liberation Serif;Times New Roma"/>
                <w:lang w:eastAsia="hi-IN" w:bidi="ru-RU"/>
              </w:rPr>
            </w:pPr>
            <w:r>
              <w:rPr>
                <w:rFonts w:eastAsia="Arial" w:cs="Liberation Serif;Times New Roma"/>
                <w:color w:val="000000"/>
                <w:lang w:eastAsia="hi-IN" w:bidi="ru-RU"/>
              </w:rPr>
              <w:t>4,20</w:t>
            </w:r>
          </w:p>
        </w:tc>
      </w:tr>
      <w:tr w:rsidR="00256EA0">
        <w:trPr>
          <w:jc w:val="center"/>
        </w:trPr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Arial" w:hAnsi="Times New Roman" w:cs="Liberation Serif;Times New Roma"/>
                <w:lang w:eastAsia="hi-IN" w:bidi="ru-RU"/>
              </w:rPr>
            </w:pPr>
            <w:r>
              <w:rPr>
                <w:rFonts w:eastAsia="Arial" w:cs="Liberation Serif;Times New Roma"/>
                <w:lang w:eastAsia="hi-IN" w:bidi="ru-RU"/>
              </w:rPr>
              <w:t>13</w:t>
            </w:r>
          </w:p>
        </w:tc>
        <w:tc>
          <w:tcPr>
            <w:tcW w:w="6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6EA0" w:rsidRDefault="006A008C">
            <w:pPr>
              <w:widowControl w:val="0"/>
              <w:spacing w:before="100" w:after="100"/>
              <w:rPr>
                <w:rFonts w:hint="eastAsia"/>
              </w:rPr>
            </w:pPr>
            <w:r>
              <w:t>Зона лесов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Arial" w:hAnsi="Times New Roman" w:cs="Liberation Serif;Times New Roma"/>
                <w:lang w:eastAsia="hi-IN" w:bidi="ru-RU"/>
              </w:rPr>
            </w:pPr>
            <w:r>
              <w:rPr>
                <w:rFonts w:eastAsia="Arial" w:cs="Liberation Serif;Times New Roma"/>
                <w:color w:val="000000"/>
                <w:lang w:eastAsia="hi-IN" w:bidi="ru-RU"/>
              </w:rPr>
              <w:t>9732,69</w:t>
            </w:r>
          </w:p>
        </w:tc>
      </w:tr>
      <w:tr w:rsidR="00256EA0">
        <w:trPr>
          <w:jc w:val="center"/>
        </w:trPr>
        <w:tc>
          <w:tcPr>
            <w:tcW w:w="1644" w:type="dxa"/>
            <w:tcBorders>
              <w:left w:val="single" w:sz="4" w:space="0" w:color="000000"/>
              <w:bottom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Arial" w:hAnsi="Times New Roman" w:cs="Liberation Serif;Times New Roma"/>
                <w:lang w:eastAsia="hi-IN" w:bidi="ru-RU"/>
              </w:rPr>
            </w:pPr>
            <w:r>
              <w:rPr>
                <w:rFonts w:eastAsia="Arial" w:cs="Liberation Serif;Times New Roma"/>
                <w:lang w:eastAsia="hi-IN" w:bidi="ru-RU"/>
              </w:rPr>
              <w:t>14</w:t>
            </w:r>
          </w:p>
        </w:tc>
        <w:tc>
          <w:tcPr>
            <w:tcW w:w="6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6EA0" w:rsidRDefault="006A008C">
            <w:pPr>
              <w:widowControl w:val="0"/>
              <w:spacing w:before="100" w:after="100"/>
              <w:rPr>
                <w:rFonts w:hint="eastAsia"/>
              </w:rPr>
            </w:pPr>
            <w:r>
              <w:t>Зона кладбищ</w:t>
            </w: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EA0" w:rsidRDefault="006A008C">
            <w:pPr>
              <w:widowControl w:val="0"/>
              <w:spacing w:before="100" w:after="100"/>
              <w:jc w:val="center"/>
              <w:rPr>
                <w:rFonts w:ascii="Times New Roman" w:eastAsia="Arial" w:hAnsi="Times New Roman" w:cs="Liberation Serif;Times New Roma"/>
                <w:lang w:eastAsia="hi-IN" w:bidi="ru-RU"/>
              </w:rPr>
            </w:pPr>
            <w:r>
              <w:rPr>
                <w:rFonts w:eastAsia="Arial" w:cs="Liberation Serif;Times New Roma"/>
                <w:color w:val="000000"/>
                <w:lang w:eastAsia="hi-IN" w:bidi="ru-RU"/>
              </w:rPr>
              <w:t>3,01</w:t>
            </w:r>
          </w:p>
        </w:tc>
      </w:tr>
    </w:tbl>
    <w:p w:rsidR="00256EA0" w:rsidRPr="00FC5813" w:rsidRDefault="008C724E" w:rsidP="008C724E">
      <w:pPr>
        <w:jc w:val="right"/>
        <w:rPr>
          <w:rFonts w:hint="eastAsia"/>
        </w:rPr>
      </w:pPr>
      <w:r>
        <w:t>»</w:t>
      </w:r>
    </w:p>
    <w:sectPr w:rsidR="00256EA0" w:rsidRPr="00FC5813" w:rsidSect="006A008C">
      <w:pgSz w:w="11906" w:h="16838"/>
      <w:pgMar w:top="1134" w:right="567" w:bottom="1134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47589"/>
    <w:multiLevelType w:val="multilevel"/>
    <w:tmpl w:val="C52006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4E227C"/>
    <w:multiLevelType w:val="multilevel"/>
    <w:tmpl w:val="3D0C87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256EA0"/>
    <w:rsid w:val="00256EA0"/>
    <w:rsid w:val="00290659"/>
    <w:rsid w:val="00334314"/>
    <w:rsid w:val="00421087"/>
    <w:rsid w:val="004B7B15"/>
    <w:rsid w:val="006A008C"/>
    <w:rsid w:val="00887524"/>
    <w:rsid w:val="008C724E"/>
    <w:rsid w:val="008E2024"/>
    <w:rsid w:val="00971CE2"/>
    <w:rsid w:val="00980A2F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Liberation Serif;Times New Roma"/>
      <w:color w:val="000000"/>
      <w:lang w:eastAsia="ar-SA" w:bidi="ru-RU"/>
    </w:rPr>
  </w:style>
  <w:style w:type="paragraph" w:customStyle="1" w:styleId="11">
    <w:name w:val="Табличный_боковик_11"/>
    <w:qFormat/>
    <w:rPr>
      <w:rFonts w:ascii="Times New Roman" w:eastAsia="Times New Roman" w:hAnsi="Times New Roman" w:cs="Liberation Serif;Times New Roma"/>
      <w:sz w:val="22"/>
      <w:lang w:eastAsia="ar-SA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Liberation Serif;Times New Roma"/>
      <w:color w:val="000000"/>
      <w:lang w:eastAsia="ar-SA" w:bidi="ru-RU"/>
    </w:rPr>
  </w:style>
  <w:style w:type="paragraph" w:customStyle="1" w:styleId="11">
    <w:name w:val="Табличный_боковик_11"/>
    <w:qFormat/>
    <w:rPr>
      <w:rFonts w:ascii="Times New Roman" w:eastAsia="Times New Roman" w:hAnsi="Times New Roman" w:cs="Liberation Serif;Times New Roma"/>
      <w:sz w:val="22"/>
      <w:lang w:eastAsia="ar-SA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15</cp:revision>
  <cp:lastPrinted>2022-12-09T11:26:00Z</cp:lastPrinted>
  <dcterms:created xsi:type="dcterms:W3CDTF">2022-12-05T15:23:00Z</dcterms:created>
  <dcterms:modified xsi:type="dcterms:W3CDTF">2022-12-09T11:26:00Z</dcterms:modified>
  <dc:language>ru-RU</dc:language>
</cp:coreProperties>
</file>