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C5B" w:rsidRDefault="002B2B6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5B" w:rsidRDefault="002B2B6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04C5B" w:rsidRDefault="002B2B6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4C5B" w:rsidRDefault="00A04C5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04C5B" w:rsidRDefault="00A04C5B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A04C5B" w:rsidRDefault="002B2B6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04C5B" w:rsidRDefault="00A04C5B">
      <w:pPr>
        <w:tabs>
          <w:tab w:val="left" w:pos="709"/>
        </w:tabs>
        <w:jc w:val="center"/>
        <w:rPr>
          <w:sz w:val="28"/>
        </w:rPr>
      </w:pPr>
    </w:p>
    <w:p w:rsidR="00A04C5B" w:rsidRDefault="00A04C5B">
      <w:pPr>
        <w:tabs>
          <w:tab w:val="left" w:pos="709"/>
        </w:tabs>
        <w:jc w:val="center"/>
        <w:rPr>
          <w:sz w:val="28"/>
        </w:rPr>
      </w:pPr>
    </w:p>
    <w:p w:rsidR="00A04C5B" w:rsidRDefault="006621C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декабря </w:t>
      </w:r>
      <w:r w:rsidR="002B2B6B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№ 772-п</w:t>
      </w:r>
    </w:p>
    <w:p w:rsidR="00A04C5B" w:rsidRDefault="00A04C5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04C5B">
        <w:trPr>
          <w:trHeight w:val="1515"/>
        </w:trPr>
        <w:tc>
          <w:tcPr>
            <w:tcW w:w="9929" w:type="dxa"/>
          </w:tcPr>
          <w:p w:rsidR="00A04C5B" w:rsidRDefault="00A04C5B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A04C5B" w:rsidRDefault="002B2B6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изменения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Варсковское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  <w:p w:rsidR="00A04C5B" w:rsidRDefault="002B2B6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Рязанского муниципального района Рязанской области</w:t>
            </w:r>
          </w:p>
        </w:tc>
      </w:tr>
      <w:tr w:rsidR="00A04C5B">
        <w:tc>
          <w:tcPr>
            <w:tcW w:w="9929" w:type="dxa"/>
          </w:tcPr>
          <w:p w:rsidR="00A04C5B" w:rsidRDefault="002B2B6B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33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13.12.2022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изменения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  <w:szCs w:val="28"/>
              </w:rPr>
              <w:t>Варсковское</w:t>
            </w:r>
            <w:proofErr w:type="spellEnd"/>
            <w:r>
              <w:rPr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color w:val="auto"/>
                <w:sz w:val="28"/>
                <w:szCs w:val="28"/>
                <w:highlight w:val="white"/>
              </w:rPr>
              <w:t>Рязанского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распоряжением Губернатора Рязанской области от 22.09.2022 № 372-рг,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A04C5B" w:rsidRDefault="002B2B6B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highlight w:val="white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Внести изменение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Варсковское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от 01.04.2021 № 123-п «Об утверждении правил землепользования и застройки муниципального образования —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Варсковское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Рязанского муниципального района Рязанской области» (в редакции постановления Главархитектуры Рязанской области от 11.05.2022 № 233-п)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изложив пункт 4.1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статьи 11 в</w:t>
            </w:r>
            <w:proofErr w:type="gramEnd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редакции согласно приложению к настоящему постановлению.</w:t>
            </w:r>
          </w:p>
          <w:p w:rsidR="00A04C5B" w:rsidRDefault="002B2B6B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A04C5B" w:rsidRDefault="00A04C5B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</w:p>
          <w:p w:rsidR="00A04C5B" w:rsidRDefault="00A04C5B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</w:p>
          <w:p w:rsidR="00A04C5B" w:rsidRDefault="002B2B6B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изменению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Варсковское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Рязанского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A04C5B" w:rsidRDefault="002B2B6B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A04C5B" w:rsidRDefault="002B2B6B">
            <w:pPr>
              <w:pStyle w:val="ConsPlusNormal1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A04C5B" w:rsidRDefault="002B2B6B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Рязанский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Варсковское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Рязанского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A04C5B" w:rsidRDefault="002B2B6B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сведения об изменении градостроительного регламента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br/>
              <w:t>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 Рязанской области для внесения сведений в Единый государственный реестр недвижимости (ЕГРН) в течение 5 рабочих дней со дня 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правовой информации (</w:t>
            </w:r>
            <w:hyperlink r:id="rId10" w:tgtFrame="http://www.pravo.gov.ru/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A04C5B" w:rsidRDefault="002B2B6B">
            <w:pPr>
              <w:pStyle w:val="ConsPlusNormal1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A04C5B" w:rsidRDefault="00A04C5B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A04C5B" w:rsidRDefault="00A04C5B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A04C5B">
        <w:tc>
          <w:tcPr>
            <w:tcW w:w="9929" w:type="dxa"/>
          </w:tcPr>
          <w:p w:rsidR="00A04C5B" w:rsidRDefault="002B2B6B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A04C5B" w:rsidRDefault="00A04C5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04C5B" w:rsidRDefault="00A04C5B">
      <w:pPr>
        <w:tabs>
          <w:tab w:val="left" w:pos="709"/>
        </w:tabs>
        <w:jc w:val="both"/>
        <w:sectPr w:rsidR="00A04C5B">
          <w:headerReference w:type="default" r:id="rId11"/>
          <w:pgSz w:w="11906" w:h="16838"/>
          <w:pgMar w:top="1134" w:right="567" w:bottom="1134" w:left="1417" w:header="709" w:footer="0" w:gutter="0"/>
          <w:cols w:space="720"/>
          <w:formProt w:val="0"/>
          <w:titlePg/>
          <w:docGrid w:linePitch="360"/>
        </w:sectPr>
      </w:pPr>
    </w:p>
    <w:p w:rsidR="00A04C5B" w:rsidRDefault="002B2B6B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04C5B" w:rsidRDefault="002B2B6B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Главархитектуры </w:t>
      </w:r>
    </w:p>
    <w:p w:rsidR="00A04C5B" w:rsidRDefault="002B2B6B">
      <w:pPr>
        <w:widowControl w:val="0"/>
        <w:jc w:val="right"/>
        <w:rPr>
          <w:sz w:val="28"/>
        </w:rPr>
      </w:pPr>
      <w:r>
        <w:rPr>
          <w:sz w:val="28"/>
        </w:rPr>
        <w:t xml:space="preserve">Рязанской области </w:t>
      </w:r>
    </w:p>
    <w:p w:rsidR="00A04C5B" w:rsidRDefault="001D59FB">
      <w:pPr>
        <w:widowControl w:val="0"/>
        <w:tabs>
          <w:tab w:val="left" w:pos="709"/>
        </w:tabs>
        <w:ind w:left="35" w:hanging="35"/>
        <w:jc w:val="right"/>
        <w:rPr>
          <w:sz w:val="28"/>
        </w:rPr>
      </w:pPr>
      <w:r>
        <w:rPr>
          <w:sz w:val="28"/>
        </w:rPr>
        <w:t>от «16» декабря 2022 г. № 772-п</w:t>
      </w:r>
      <w:bookmarkStart w:id="0" w:name="_GoBack"/>
      <w:bookmarkEnd w:id="0"/>
    </w:p>
    <w:p w:rsidR="00A04C5B" w:rsidRDefault="00A04C5B">
      <w:pPr>
        <w:widowControl w:val="0"/>
        <w:tabs>
          <w:tab w:val="left" w:pos="709"/>
        </w:tabs>
        <w:ind w:left="35" w:hanging="35"/>
        <w:jc w:val="right"/>
        <w:rPr>
          <w:sz w:val="28"/>
        </w:rPr>
      </w:pPr>
    </w:p>
    <w:tbl>
      <w:tblPr>
        <w:tblW w:w="9695" w:type="dxa"/>
        <w:tblInd w:w="17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6"/>
        <w:gridCol w:w="3091"/>
        <w:gridCol w:w="2978"/>
        <w:gridCol w:w="130"/>
      </w:tblGrid>
      <w:tr w:rsidR="00A04C5B">
        <w:tc>
          <w:tcPr>
            <w:tcW w:w="9625" w:type="dxa"/>
            <w:gridSpan w:val="3"/>
            <w:tcBorders>
              <w:bottom w:val="single" w:sz="4" w:space="0" w:color="000000"/>
            </w:tcBorders>
          </w:tcPr>
          <w:p w:rsidR="00A04C5B" w:rsidRDefault="002B2B6B">
            <w:pPr>
              <w:suppressAutoHyphens w:val="0"/>
              <w:ind w:firstLine="170"/>
            </w:pPr>
            <w:r>
              <w:rPr>
                <w:rFonts w:eastAsia="Times New Roman" w:cs="Times New Roman"/>
                <w:b/>
                <w:lang w:eastAsia="ru-RU" w:bidi="ar-SA"/>
              </w:rPr>
              <w:t>«</w:t>
            </w:r>
            <w:r>
              <w:rPr>
                <w:rFonts w:eastAsia="Times New Roman" w:cs="Times New Roman"/>
                <w:lang w:eastAsia="ru-RU" w:bidi="ar-SA"/>
              </w:rPr>
              <w:t>Пункт 4.1 статьи 11:</w:t>
            </w:r>
          </w:p>
          <w:p w:rsidR="00A04C5B" w:rsidRDefault="00A04C5B">
            <w:pPr>
              <w:suppressAutoHyphens w:val="0"/>
              <w:ind w:firstLine="513"/>
              <w:rPr>
                <w:rFonts w:eastAsia="Times New Roman" w:cs="Times New Roman"/>
                <w:lang w:eastAsia="ru-RU" w:bidi="ar-SA"/>
              </w:rPr>
            </w:pPr>
          </w:p>
          <w:p w:rsidR="00A04C5B" w:rsidRDefault="002B2B6B">
            <w:pPr>
              <w:tabs>
                <w:tab w:val="left" w:pos="699"/>
              </w:tabs>
              <w:suppressAutoHyphens w:val="0"/>
              <w:ind w:firstLine="539"/>
              <w:jc w:val="both"/>
              <w:rPr>
                <w:rFonts w:cs="Times New Roman"/>
                <w:b/>
              </w:rPr>
            </w:pPr>
            <w:r>
              <w:rPr>
                <w:rFonts w:eastAsia="Calibri" w:cs="Times New Roman"/>
                <w:b/>
                <w:lang w:eastAsia="ru-RU"/>
              </w:rPr>
              <w:t>4.1. Зона садоводческих, огороднических или дачных некоммерческих об</w:t>
            </w:r>
            <w:r>
              <w:rPr>
                <w:rFonts w:eastAsia="Calibri" w:cs="Times New Roman"/>
                <w:b/>
                <w:lang w:eastAsia="ru-RU"/>
              </w:rPr>
              <w:t>ъ</w:t>
            </w:r>
            <w:r>
              <w:rPr>
                <w:rFonts w:eastAsia="Calibri" w:cs="Times New Roman"/>
                <w:b/>
                <w:lang w:eastAsia="ru-RU"/>
              </w:rPr>
              <w:t>единений граждан.</w:t>
            </w:r>
          </w:p>
          <w:p w:rsidR="00A04C5B" w:rsidRDefault="00A04C5B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A04C5B" w:rsidRDefault="002B2B6B">
            <w:pPr>
              <w:tabs>
                <w:tab w:val="left" w:pos="1240"/>
              </w:tabs>
              <w:suppressAutoHyphens w:val="0"/>
              <w:ind w:firstLine="1134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Calibri" w:cs="Times New Roman"/>
                <w:lang w:eastAsia="ru-RU"/>
              </w:rPr>
              <w:t>Зоны садоводческих, огороднических или дачных некоммерческих об</w:t>
            </w:r>
            <w:r>
              <w:rPr>
                <w:rFonts w:eastAsia="Calibri" w:cs="Times New Roman"/>
                <w:lang w:eastAsia="ru-RU"/>
              </w:rPr>
              <w:t>ъ</w:t>
            </w:r>
            <w:r>
              <w:rPr>
                <w:rFonts w:eastAsia="Calibri" w:cs="Times New Roman"/>
                <w:lang w:eastAsia="ru-RU"/>
              </w:rPr>
              <w:t>единений граждан выделены для обеспечения правовых условий использования территорий садоводческих товариществ и объединений</w:t>
            </w:r>
          </w:p>
        </w:tc>
        <w:tc>
          <w:tcPr>
            <w:tcW w:w="70" w:type="dxa"/>
            <w:tcBorders>
              <w:bottom w:val="single" w:sz="4" w:space="0" w:color="000000"/>
            </w:tcBorders>
          </w:tcPr>
          <w:p w:rsidR="00A04C5B" w:rsidRDefault="00A04C5B">
            <w:pPr>
              <w:rPr>
                <w:rFonts w:eastAsia="Times New Roman" w:cs="Times New Roman"/>
                <w:sz w:val="28"/>
              </w:rPr>
            </w:pPr>
          </w:p>
        </w:tc>
      </w:tr>
      <w:tr w:rsidR="00A04C5B"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Вид </w:t>
            </w:r>
            <w:proofErr w:type="gramStart"/>
            <w:r>
              <w:rPr>
                <w:rFonts w:eastAsia="Times New Roman" w:cs="Times New Roman"/>
                <w:lang w:eastAsia="ru-RU" w:bidi="ar-SA"/>
              </w:rPr>
              <w:t>разрешенного</w:t>
            </w:r>
            <w:proofErr w:type="gramEnd"/>
          </w:p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использования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5B" w:rsidRDefault="00A04C5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</w:p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Наименование вида ра</w:t>
            </w:r>
            <w:r>
              <w:rPr>
                <w:rFonts w:eastAsia="Times New Roman" w:cs="Times New Roman"/>
                <w:lang w:eastAsia="ru-RU" w:bidi="ar-SA"/>
              </w:rPr>
              <w:t>з</w:t>
            </w:r>
            <w:r>
              <w:rPr>
                <w:rFonts w:eastAsia="Times New Roman" w:cs="Times New Roman"/>
                <w:lang w:eastAsia="ru-RU" w:bidi="ar-SA"/>
              </w:rPr>
              <w:t>решенного использования</w:t>
            </w:r>
          </w:p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 xml:space="preserve"> земельного участка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Код разрешенного и</w:t>
            </w:r>
            <w:r>
              <w:rPr>
                <w:rFonts w:eastAsia="Times New Roman" w:cs="Times New Roman"/>
                <w:lang w:eastAsia="ru-RU" w:bidi="ar-SA"/>
              </w:rPr>
              <w:t>с</w:t>
            </w:r>
            <w:r>
              <w:rPr>
                <w:rFonts w:eastAsia="Times New Roman" w:cs="Times New Roman"/>
                <w:lang w:eastAsia="ru-RU" w:bidi="ar-SA"/>
              </w:rPr>
              <w:t>пользования земельного участка</w:t>
            </w:r>
          </w:p>
        </w:tc>
      </w:tr>
      <w:tr w:rsidR="00A04C5B">
        <w:tc>
          <w:tcPr>
            <w:tcW w:w="3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2B2B6B">
            <w:pPr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Основные виды разрешенного использования зоны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земельные участки общ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го назначения;</w:t>
            </w: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13.0</w:t>
            </w:r>
          </w:p>
        </w:tc>
      </w:tr>
      <w:tr w:rsidR="00A04C5B">
        <w:tc>
          <w:tcPr>
            <w:tcW w:w="35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A04C5B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ведение огородничества;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13.1</w:t>
            </w:r>
          </w:p>
        </w:tc>
      </w:tr>
      <w:tr w:rsidR="00A04C5B">
        <w:tc>
          <w:tcPr>
            <w:tcW w:w="35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A04C5B">
            <w:pPr>
              <w:pStyle w:val="af9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ведение садоводства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13.2</w:t>
            </w:r>
          </w:p>
        </w:tc>
      </w:tr>
      <w:tr w:rsidR="00A04C5B"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lang w:eastAsia="ru-RU" w:bidi="ar-SA"/>
              </w:rPr>
              <w:t>Условно разрешенные</w:t>
            </w:r>
            <w:r>
              <w:rPr>
                <w:rFonts w:eastAsia="Times New Roman" w:cs="Times New Roman"/>
                <w:lang w:eastAsia="ru-RU" w:bidi="ar-SA"/>
              </w:rPr>
              <w:br/>
              <w:t xml:space="preserve">виды </w:t>
            </w:r>
            <w:proofErr w:type="gramStart"/>
            <w:r>
              <w:rPr>
                <w:rFonts w:eastAsia="Times New Roman" w:cs="Times New Roman"/>
                <w:lang w:eastAsia="ru-RU" w:bidi="ar-SA"/>
              </w:rPr>
              <w:t>разрешенного</w:t>
            </w:r>
            <w:proofErr w:type="gramEnd"/>
          </w:p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использования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не подлежит установл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нию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-</w:t>
            </w:r>
          </w:p>
        </w:tc>
      </w:tr>
      <w:tr w:rsidR="00A04C5B">
        <w:tc>
          <w:tcPr>
            <w:tcW w:w="96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ind w:firstLine="540"/>
              <w:jc w:val="both"/>
              <w:rPr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 w:bidi="ar-SA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</w:t>
            </w:r>
            <w:r>
              <w:rPr>
                <w:rFonts w:eastAsia="Times New Roman" w:cs="Times New Roman"/>
                <w:szCs w:val="26"/>
                <w:lang w:eastAsia="ru-RU" w:bidi="ar-SA"/>
              </w:rPr>
              <w:t>а</w:t>
            </w:r>
            <w:r>
              <w:rPr>
                <w:rFonts w:eastAsia="Times New Roman" w:cs="Times New Roman"/>
                <w:szCs w:val="26"/>
                <w:lang w:eastAsia="ru-RU" w:bidi="ar-SA"/>
              </w:rPr>
              <w:t>питального строительства</w:t>
            </w:r>
          </w:p>
        </w:tc>
      </w:tr>
      <w:tr w:rsidR="00A04C5B"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 w:bidi="ar-SA"/>
              </w:rPr>
              <w:t>№</w:t>
            </w:r>
          </w:p>
          <w:p w:rsidR="00A04C5B" w:rsidRDefault="002B2B6B">
            <w:pPr>
              <w:suppressAutoHyphens w:val="0"/>
              <w:jc w:val="center"/>
              <w:rPr>
                <w:szCs w:val="26"/>
              </w:rPr>
            </w:pPr>
            <w:proofErr w:type="gramStart"/>
            <w:r>
              <w:rPr>
                <w:rFonts w:eastAsia="Times New Roman" w:cs="Times New Roman"/>
                <w:szCs w:val="26"/>
                <w:lang w:eastAsia="ru-RU" w:bidi="ar-SA"/>
              </w:rPr>
              <w:t>п</w:t>
            </w:r>
            <w:proofErr w:type="gramEnd"/>
            <w:r>
              <w:rPr>
                <w:rFonts w:eastAsia="Times New Roman" w:cs="Times New Roman"/>
                <w:szCs w:val="26"/>
                <w:lang w:val="en-US" w:eastAsia="ru-RU" w:bidi="ar-SA"/>
              </w:rPr>
              <w:t>/</w:t>
            </w:r>
            <w:r>
              <w:rPr>
                <w:rFonts w:eastAsia="Times New Roman" w:cs="Times New Roman"/>
                <w:szCs w:val="26"/>
                <w:lang w:eastAsia="ru-RU" w:bidi="ar-SA"/>
              </w:rPr>
              <w:t>п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jc w:val="center"/>
              <w:rPr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 w:bidi="ar-SA"/>
              </w:rPr>
              <w:t>Наименование размера, параметра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5B" w:rsidRDefault="002B2B6B">
            <w:pPr>
              <w:suppressAutoHyphens w:val="0"/>
              <w:jc w:val="center"/>
              <w:rPr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 w:bidi="ar-SA"/>
              </w:rPr>
              <w:t>Значение, единица изм</w:t>
            </w:r>
            <w:r>
              <w:rPr>
                <w:rFonts w:eastAsia="Times New Roman" w:cs="Times New Roman"/>
                <w:szCs w:val="26"/>
                <w:lang w:eastAsia="ru-RU" w:bidi="ar-SA"/>
              </w:rPr>
              <w:t>е</w:t>
            </w:r>
            <w:r>
              <w:rPr>
                <w:rFonts w:eastAsia="Times New Roman" w:cs="Times New Roman"/>
                <w:szCs w:val="26"/>
                <w:lang w:eastAsia="ru-RU" w:bidi="ar-SA"/>
              </w:rPr>
              <w:t>рения, дополнительные условия</w:t>
            </w:r>
          </w:p>
        </w:tc>
      </w:tr>
      <w:tr w:rsidR="00A04C5B"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1.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lang w:eastAsia="ru-RU" w:bidi="ar-SA"/>
              </w:rPr>
              <w:t>Предельный минимал</w:t>
            </w:r>
            <w:r>
              <w:rPr>
                <w:rFonts w:eastAsia="Times New Roman" w:cs="Times New Roman"/>
                <w:lang w:eastAsia="ru-RU" w:bidi="ar-SA"/>
              </w:rPr>
              <w:t>ь</w:t>
            </w:r>
            <w:r>
              <w:rPr>
                <w:rFonts w:eastAsia="Times New Roman" w:cs="Times New Roman"/>
                <w:lang w:eastAsia="ru-RU" w:bidi="ar-SA"/>
              </w:rPr>
              <w:t>ный и (или) максимал</w:t>
            </w:r>
            <w:r>
              <w:rPr>
                <w:rFonts w:eastAsia="Times New Roman" w:cs="Times New Roman"/>
                <w:lang w:eastAsia="ru-RU" w:bidi="ar-SA"/>
              </w:rPr>
              <w:t>ь</w:t>
            </w:r>
            <w:r>
              <w:rPr>
                <w:rFonts w:eastAsia="Times New Roman" w:cs="Times New Roman"/>
                <w:lang w:eastAsia="ru-RU" w:bidi="ar-SA"/>
              </w:rPr>
              <w:t>ный размер земельного участка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не подлежит установл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нию</w:t>
            </w:r>
          </w:p>
        </w:tc>
      </w:tr>
      <w:tr w:rsidR="00A04C5B"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2.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Предельная минимальная площадь земельного участка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600 кв.м.*</w:t>
            </w:r>
          </w:p>
        </w:tc>
      </w:tr>
      <w:tr w:rsidR="00A04C5B"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3.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lang w:eastAsia="ru-RU" w:bidi="ar-SA"/>
              </w:rPr>
              <w:t>Предельная максимальная площадь земельного участка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2000 кв.м.*</w:t>
            </w:r>
          </w:p>
        </w:tc>
      </w:tr>
      <w:tr w:rsidR="00A04C5B"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lastRenderedPageBreak/>
              <w:t>4.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Минимальные отступы от границ земельных учас</w:t>
            </w:r>
            <w:r>
              <w:rPr>
                <w:rFonts w:eastAsia="Times New Roman" w:cs="Times New Roman"/>
                <w:lang w:eastAsia="ru-RU" w:bidi="ar-SA"/>
              </w:rPr>
              <w:t>т</w:t>
            </w:r>
            <w:r>
              <w:rPr>
                <w:rFonts w:eastAsia="Times New Roman" w:cs="Times New Roman"/>
                <w:lang w:eastAsia="ru-RU" w:bidi="ar-SA"/>
              </w:rPr>
              <w:t>ков в целях определения мест допустимого разм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щения зданий, строений, сооружений, за пределами которых запрещено стр</w:t>
            </w:r>
            <w:r>
              <w:rPr>
                <w:rFonts w:eastAsia="Times New Roman" w:cs="Times New Roman"/>
                <w:lang w:eastAsia="ru-RU" w:bidi="ar-SA"/>
              </w:rPr>
              <w:t>о</w:t>
            </w:r>
            <w:r>
              <w:rPr>
                <w:rFonts w:eastAsia="Times New Roman" w:cs="Times New Roman"/>
                <w:lang w:eastAsia="ru-RU" w:bidi="ar-SA"/>
              </w:rPr>
              <w:t>ительство зданий, стро</w:t>
            </w:r>
            <w:r>
              <w:rPr>
                <w:rFonts w:eastAsia="Times New Roman" w:cs="Times New Roman"/>
                <w:lang w:eastAsia="ru-RU" w:bidi="ar-SA"/>
              </w:rPr>
              <w:t>е</w:t>
            </w:r>
            <w:r>
              <w:rPr>
                <w:rFonts w:eastAsia="Times New Roman" w:cs="Times New Roman"/>
                <w:lang w:eastAsia="ru-RU" w:bidi="ar-SA"/>
              </w:rPr>
              <w:t>ний, сооружений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3 м (для ведения садово</w:t>
            </w:r>
            <w:r>
              <w:rPr>
                <w:rFonts w:eastAsia="Times New Roman" w:cs="Times New Roman"/>
                <w:lang w:eastAsia="ru-RU" w:bidi="ar-SA"/>
              </w:rPr>
              <w:t>д</w:t>
            </w:r>
            <w:r>
              <w:rPr>
                <w:rFonts w:eastAsia="Times New Roman" w:cs="Times New Roman"/>
                <w:lang w:eastAsia="ru-RU" w:bidi="ar-SA"/>
              </w:rPr>
              <w:t>ства);</w:t>
            </w:r>
          </w:p>
        </w:tc>
      </w:tr>
      <w:tr w:rsidR="00A04C5B"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5.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lang w:eastAsia="ru-RU" w:bidi="ar-SA"/>
              </w:rPr>
              <w:t>2 этажа</w:t>
            </w:r>
          </w:p>
        </w:tc>
      </w:tr>
      <w:tr w:rsidR="00A04C5B">
        <w:tc>
          <w:tcPr>
            <w:tcW w:w="3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4C5B" w:rsidRDefault="002B2B6B">
            <w:pPr>
              <w:suppressAutoHyphens w:val="0"/>
              <w:jc w:val="center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6.</w:t>
            </w:r>
          </w:p>
        </w:tc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A04C5B" w:rsidRDefault="002B2B6B">
            <w:pPr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lang w:eastAsia="ru-RU" w:bidi="ar-SA"/>
              </w:rPr>
              <w:t>Максимальный коэфф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циент застройки в гран</w:t>
            </w:r>
            <w:r>
              <w:rPr>
                <w:rFonts w:eastAsia="Times New Roman" w:cs="Times New Roman"/>
                <w:lang w:eastAsia="ru-RU" w:bidi="ar-SA"/>
              </w:rPr>
              <w:t>и</w:t>
            </w:r>
            <w:r>
              <w:rPr>
                <w:rFonts w:eastAsia="Times New Roman" w:cs="Times New Roman"/>
                <w:lang w:eastAsia="ru-RU" w:bidi="ar-SA"/>
              </w:rPr>
              <w:t>цах земельного участка</w:t>
            </w: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C5B" w:rsidRDefault="002B2B6B">
            <w:pPr>
              <w:suppressAutoHyphens w:val="0"/>
              <w:rPr>
                <w:rFonts w:eastAsia="Times New Roman" w:cs="Times New Roman"/>
                <w:lang w:eastAsia="ru-RU"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30%</w:t>
            </w:r>
          </w:p>
        </w:tc>
      </w:tr>
    </w:tbl>
    <w:p w:rsidR="00A04C5B" w:rsidRDefault="002B2B6B">
      <w:pPr>
        <w:pStyle w:val="a9"/>
        <w:ind w:firstLine="1020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sz w:val="24"/>
          <w:lang w:eastAsia="ru-RU" w:bidi="ar-SA"/>
        </w:rPr>
        <w:t xml:space="preserve">* </w:t>
      </w:r>
      <w:r>
        <w:rPr>
          <w:rFonts w:eastAsia="Times New Roman" w:cs="Times New Roman"/>
          <w:lang w:eastAsia="ru-RU" w:bidi="ar-SA"/>
        </w:rPr>
        <w:t>Указанные предельные площади участков не распространяются на земельные участки, образуемые и (или) предоставляемые садоводческим и огородническим некоммерческим товариществам в соответствии со статьей 39.10 Земельного кодекса Российской Федерации</w:t>
      </w:r>
      <w:proofErr w:type="gramStart"/>
      <w:r>
        <w:rPr>
          <w:rFonts w:eastAsia="Times New Roman" w:cs="Times New Roman"/>
          <w:lang w:eastAsia="ru-RU" w:bidi="ar-SA"/>
        </w:rPr>
        <w:t>.»</w:t>
      </w:r>
      <w:proofErr w:type="gramEnd"/>
    </w:p>
    <w:sectPr w:rsidR="00A04C5B">
      <w:headerReference w:type="default" r:id="rId12"/>
      <w:pgSz w:w="11906" w:h="16838"/>
      <w:pgMar w:top="1134" w:right="56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13" w:rsidRDefault="00A36313">
      <w:r>
        <w:separator/>
      </w:r>
    </w:p>
  </w:endnote>
  <w:endnote w:type="continuationSeparator" w:id="0">
    <w:p w:rsidR="00A36313" w:rsidRDefault="00A3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XO Thames"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1"/>
    <w:family w:val="swiss"/>
    <w:pitch w:val="default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13" w:rsidRDefault="00A36313">
      <w:r>
        <w:separator/>
      </w:r>
    </w:p>
  </w:footnote>
  <w:footnote w:type="continuationSeparator" w:id="0">
    <w:p w:rsidR="00A36313" w:rsidRDefault="00A36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C5B" w:rsidRDefault="002B2B6B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04C5B" w:rsidRDefault="00A04C5B">
    <w:pPr>
      <w:pStyle w:val="af6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C5B" w:rsidRDefault="00A04C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1648"/>
    <w:multiLevelType w:val="multilevel"/>
    <w:tmpl w:val="1E18CD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1E5739"/>
    <w:multiLevelType w:val="multilevel"/>
    <w:tmpl w:val="C9067EC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C5B"/>
    <w:rsid w:val="001D59FB"/>
    <w:rsid w:val="002B2B6B"/>
    <w:rsid w:val="006621CE"/>
    <w:rsid w:val="00A04C5B"/>
    <w:rsid w:val="00A3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90">
    <w:name w:val="Заголовок 9 Знак"/>
    <w:qFormat/>
    <w:rPr>
      <w:rFonts w:ascii="Cambria" w:eastAsia="Cambria" w:hAnsi="Cambria"/>
      <w:sz w:val="24"/>
      <w:szCs w:val="22"/>
      <w:lang w:val="en-US" w:eastAsia="zh-CN"/>
    </w:rPr>
  </w:style>
  <w:style w:type="character" w:customStyle="1" w:styleId="80">
    <w:name w:val="Заголовок 8 Знак"/>
    <w:qFormat/>
    <w:rPr>
      <w:rFonts w:ascii="Calibri" w:eastAsia="Calibri" w:hAnsi="Calibri"/>
      <w:i/>
      <w:iCs/>
      <w:sz w:val="24"/>
      <w:szCs w:val="24"/>
      <w:lang w:val="en-US" w:eastAsia="zh-CN"/>
    </w:rPr>
  </w:style>
  <w:style w:type="character" w:customStyle="1" w:styleId="70">
    <w:name w:val="Заголовок 7 Знак"/>
    <w:qFormat/>
    <w:rPr>
      <w:rFonts w:ascii="Calibri" w:eastAsia="Calibri" w:hAnsi="Calibri"/>
      <w:sz w:val="24"/>
      <w:szCs w:val="24"/>
      <w:lang w:val="en-US" w:eastAsia="zh-CN"/>
    </w:rPr>
  </w:style>
  <w:style w:type="character" w:customStyle="1" w:styleId="60">
    <w:name w:val="Заголовок 6 Знак"/>
    <w:qFormat/>
    <w:rPr>
      <w:b/>
      <w:sz w:val="24"/>
      <w:lang w:val="en-US" w:eastAsia="zh-CN"/>
    </w:rPr>
  </w:style>
  <w:style w:type="character" w:customStyle="1" w:styleId="52">
    <w:name w:val="Заголовок 5 Знак"/>
    <w:qFormat/>
    <w:rPr>
      <w:rFonts w:ascii="Calibri" w:eastAsia="Calibri" w:hAnsi="Calibri"/>
      <w:b/>
      <w:bCs/>
      <w:i/>
      <w:iCs/>
      <w:sz w:val="26"/>
      <w:szCs w:val="26"/>
      <w:lang w:val="en-US" w:eastAsia="zh-CN"/>
    </w:rPr>
  </w:style>
  <w:style w:type="character" w:customStyle="1" w:styleId="40">
    <w:name w:val="Заголовок 4 Знак"/>
    <w:qFormat/>
    <w:rPr>
      <w:rFonts w:ascii="Calibri" w:eastAsia="Calibri" w:hAnsi="Calibri"/>
      <w:b/>
      <w:bCs/>
      <w:sz w:val="28"/>
      <w:szCs w:val="28"/>
      <w:lang w:val="en-US" w:eastAsia="zh-CN"/>
    </w:rPr>
  </w:style>
  <w:style w:type="character" w:customStyle="1" w:styleId="30">
    <w:name w:val="Заголовок 3 Знак"/>
    <w:qFormat/>
    <w:rPr>
      <w:rFonts w:ascii="Cambria" w:eastAsia="Cambria" w:hAnsi="Cambria"/>
      <w:b/>
      <w:bCs/>
      <w:color w:val="4F81BD"/>
      <w:sz w:val="24"/>
      <w:szCs w:val="22"/>
      <w:lang w:eastAsia="zh-CN"/>
    </w:rPr>
  </w:style>
  <w:style w:type="character" w:customStyle="1" w:styleId="23">
    <w:name w:val="Заголовок 2 Знак"/>
    <w:qFormat/>
    <w:rPr>
      <w:rFonts w:ascii="Cambria" w:eastAsia="Cambria" w:hAnsi="Cambria"/>
      <w:b/>
      <w:bCs/>
      <w:i/>
      <w:iCs/>
      <w:sz w:val="28"/>
      <w:szCs w:val="28"/>
      <w:lang w:val="en-US" w:eastAsia="zh-CN"/>
    </w:rPr>
  </w:style>
  <w:style w:type="character" w:customStyle="1" w:styleId="1c">
    <w:name w:val="Заголовок 1 Знак"/>
    <w:qFormat/>
    <w:rPr>
      <w:rFonts w:eastAsia="Arial"/>
      <w:bCs/>
      <w:spacing w:val="4"/>
      <w:szCs w:val="28"/>
      <w:lang w:eastAsia="zh-CN"/>
    </w:rPr>
  </w:style>
  <w:style w:type="character" w:customStyle="1" w:styleId="a6">
    <w:name w:val="Текст выноски Знак"/>
    <w:qFormat/>
    <w:rPr>
      <w:rFonts w:ascii="Segoe UI" w:eastAsia="Mangal" w:hAnsi="Segoe UI"/>
      <w:kern w:val="2"/>
      <w:sz w:val="18"/>
      <w:szCs w:val="16"/>
      <w:lang w:eastAsia="hi-IN"/>
    </w:rPr>
  </w:style>
  <w:style w:type="character" w:customStyle="1" w:styleId="a7">
    <w:name w:val="Нижний колонтитул Знак"/>
    <w:qFormat/>
    <w:rPr>
      <w:rFonts w:ascii="Arial" w:eastAsia="Mangal" w:hAnsi="Arial"/>
      <w:kern w:val="2"/>
      <w:szCs w:val="24"/>
      <w:lang w:eastAsia="hi-IN"/>
    </w:rPr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eastAsia="OpenSymbol"/>
      <w:color w:val="000000"/>
      <w:szCs w:val="28"/>
      <w:lang w:eastAsia="ru-RU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  <w:rPr>
      <w:rFonts w:ascii="Symbol" w:eastAsia="OpenSymbol" w:hAnsi="Symbol"/>
    </w:rPr>
  </w:style>
  <w:style w:type="character" w:customStyle="1" w:styleId="WW8Num4z0">
    <w:name w:val="WW8Num4z0"/>
    <w:qFormat/>
    <w:rPr>
      <w:rFonts w:ascii="Symbol" w:eastAsia="OpenSymbol" w:hAnsi="Symbol"/>
    </w:rPr>
  </w:style>
  <w:style w:type="character" w:customStyle="1" w:styleId="WW8Num3z0">
    <w:name w:val="WW8Num3z0"/>
    <w:qFormat/>
    <w:rPr>
      <w:rFonts w:ascii="Symbol" w:eastAsia="OpenSymbol" w:hAnsi="Symbol"/>
    </w:rPr>
  </w:style>
  <w:style w:type="character" w:customStyle="1" w:styleId="WW8Num2z0">
    <w:name w:val="WW8Num2z0"/>
    <w:qFormat/>
    <w:rPr>
      <w:rFonts w:ascii="Symbol" w:eastAsia="OpenSymbol" w:hAnsi="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e">
    <w:name w:val="No Spacing"/>
    <w:uiPriority w:val="1"/>
    <w:qFormat/>
    <w:rPr>
      <w:sz w:val="26"/>
    </w:r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basedOn w:val="a"/>
    <w:qFormat/>
    <w:rPr>
      <w:rFonts w:ascii="Segoe UI" w:eastAsia="Segoe UI" w:hAnsi="Segoe UI"/>
      <w:sz w:val="18"/>
      <w:szCs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3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Liberation Serif"/>
      <w:b/>
      <w:bCs/>
      <w:color w:val="auto"/>
      <w:lang w:eastAsia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Liberation Serif"/>
      <w:color w:val="auto"/>
      <w:lang w:eastAsia="hi-IN"/>
    </w:rPr>
  </w:style>
  <w:style w:type="paragraph" w:customStyle="1" w:styleId="ConsPlusCell">
    <w:name w:val="ConsPlusCell"/>
    <w:qFormat/>
    <w:pPr>
      <w:widowControl w:val="0"/>
    </w:pPr>
    <w:rPr>
      <w:rFonts w:ascii="Arial" w:eastAsia="Arial" w:hAnsi="Arial" w:cs="Liberation Serif"/>
      <w:color w:val="auto"/>
      <w:lang w:eastAsia="hi-IN"/>
    </w:rPr>
  </w:style>
  <w:style w:type="paragraph" w:customStyle="1" w:styleId="ConsPlusDocList">
    <w:name w:val="ConsPlusDocList"/>
    <w:qFormat/>
    <w:pPr>
      <w:widowControl w:val="0"/>
    </w:pPr>
    <w:rPr>
      <w:rFonts w:ascii="Arial" w:eastAsia="Arial" w:hAnsi="Arial" w:cs="Liberation Serif"/>
      <w:color w:val="auto"/>
      <w:lang w:eastAsia="hi-IN"/>
    </w:rPr>
  </w:style>
  <w:style w:type="paragraph" w:customStyle="1" w:styleId="1f1">
    <w:name w:val="Указатель1"/>
    <w:basedOn w:val="a"/>
    <w:qFormat/>
  </w:style>
  <w:style w:type="paragraph" w:customStyle="1" w:styleId="1f2">
    <w:name w:val="Название1"/>
    <w:basedOn w:val="a"/>
    <w:qFormat/>
    <w:pPr>
      <w:spacing w:before="120" w:after="120"/>
    </w:pPr>
    <w:rPr>
      <w:i/>
      <w:iCs/>
    </w:rPr>
  </w:style>
  <w:style w:type="paragraph" w:customStyle="1" w:styleId="29">
    <w:name w:val="Указатель2"/>
    <w:basedOn w:val="a"/>
    <w:qFormat/>
  </w:style>
  <w:style w:type="paragraph" w:customStyle="1" w:styleId="2a">
    <w:name w:val="Название2"/>
    <w:basedOn w:val="a"/>
    <w:qFormat/>
    <w:pPr>
      <w:spacing w:before="120" w:after="120"/>
    </w:pPr>
    <w:rPr>
      <w:i/>
      <w:iCs/>
    </w:rPr>
  </w:style>
  <w:style w:type="paragraph" w:customStyle="1" w:styleId="af9">
    <w:name w:val="Содержимое таблицы"/>
    <w:basedOn w:val="a"/>
    <w:qFormat/>
  </w:style>
  <w:style w:type="paragraph" w:customStyle="1" w:styleId="afa">
    <w:name w:val="Заголовок таблицы"/>
    <w:basedOn w:val="af9"/>
    <w:qFormat/>
    <w:pPr>
      <w:suppressLineNumbers/>
      <w:jc w:val="center"/>
    </w:pPr>
    <w:rPr>
      <w:b/>
      <w:bCs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137</cp:revision>
  <cp:lastPrinted>2022-12-13T18:32:00Z</cp:lastPrinted>
  <dcterms:created xsi:type="dcterms:W3CDTF">2022-08-23T14:35:00Z</dcterms:created>
  <dcterms:modified xsi:type="dcterms:W3CDTF">2022-12-16T13:46:00Z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