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D0" w:rsidRDefault="0038343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6D0" w:rsidRDefault="0038343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566D0" w:rsidRDefault="0038343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566D0" w:rsidRDefault="00D566D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566D0" w:rsidRDefault="00D566D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566D0" w:rsidRDefault="0038343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566D0" w:rsidRDefault="00D566D0">
      <w:pPr>
        <w:tabs>
          <w:tab w:val="left" w:pos="709"/>
        </w:tabs>
        <w:jc w:val="center"/>
        <w:rPr>
          <w:sz w:val="28"/>
        </w:rPr>
      </w:pPr>
    </w:p>
    <w:p w:rsidR="00D566D0" w:rsidRDefault="00D566D0">
      <w:pPr>
        <w:tabs>
          <w:tab w:val="left" w:pos="709"/>
        </w:tabs>
        <w:jc w:val="center"/>
        <w:rPr>
          <w:sz w:val="28"/>
        </w:rPr>
      </w:pPr>
    </w:p>
    <w:p w:rsidR="00D566D0" w:rsidRDefault="00E00E7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декабря </w:t>
      </w:r>
      <w:r w:rsidR="0038343D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</w:t>
      </w:r>
      <w:bookmarkStart w:id="0" w:name="_GoBack"/>
      <w:bookmarkEnd w:id="0"/>
      <w:r>
        <w:rPr>
          <w:sz w:val="28"/>
        </w:rPr>
        <w:t xml:space="preserve"> № 773-п</w:t>
      </w:r>
    </w:p>
    <w:p w:rsidR="00D566D0" w:rsidRDefault="00D566D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566D0">
        <w:trPr>
          <w:trHeight w:val="1515"/>
        </w:trPr>
        <w:tc>
          <w:tcPr>
            <w:tcW w:w="9929" w:type="dxa"/>
          </w:tcPr>
          <w:p w:rsidR="00D566D0" w:rsidRDefault="00D566D0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D566D0" w:rsidRDefault="0038343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D566D0" w:rsidRDefault="0038343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Рязанского муниципального района Рязанской области</w:t>
            </w:r>
          </w:p>
        </w:tc>
      </w:tr>
      <w:tr w:rsidR="00D566D0">
        <w:tc>
          <w:tcPr>
            <w:tcW w:w="9929" w:type="dxa"/>
          </w:tcPr>
          <w:p w:rsidR="00D566D0" w:rsidRDefault="0038343D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13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.12.2022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</w:rPr>
              <w:t>Подвязьевское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proofErr w:type="gramEnd"/>
            <w:r>
              <w:rPr>
                <w:sz w:val="28"/>
              </w:rPr>
              <w:t xml:space="preserve"> поселение </w:t>
            </w:r>
            <w:r>
              <w:rPr>
                <w:sz w:val="28"/>
                <w:highlight w:val="white"/>
              </w:rPr>
              <w:t>Рязанского муниципального района Рязанской области,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</w:t>
            </w:r>
            <w:r>
              <w:rPr>
                <w:sz w:val="28"/>
                <w:highlight w:val="white"/>
              </w:rPr>
              <w:t>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распоряжением Губернатора Рязанской области от 22.09.2022 № 372-рг,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Внести изменение в правила землепользования и застройк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от 11.07.2022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370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-п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«Об утверждении пра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Рязанского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изложив часть 11.3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стать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11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в редакции согласно приложению к настоящему постановлению.</w:t>
            </w:r>
            <w:proofErr w:type="gramEnd"/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Настоящее </w:t>
            </w:r>
            <w:r>
              <w:rPr>
                <w:rFonts w:ascii="Times New Roman" w:hAnsi="Times New Roman"/>
                <w:sz w:val="28"/>
                <w:szCs w:val="27"/>
              </w:rPr>
              <w:t>постановление вступает в силу со дня его официального опубликования.</w:t>
            </w:r>
          </w:p>
          <w:p w:rsidR="00D566D0" w:rsidRDefault="00D566D0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</w:p>
          <w:p w:rsidR="00D566D0" w:rsidRDefault="00D566D0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 муници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Рязанского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</w:t>
            </w:r>
            <w:r>
              <w:rPr>
                <w:rFonts w:ascii="Times New Roman" w:hAnsi="Times New Roman"/>
                <w:sz w:val="28"/>
              </w:rPr>
              <w:t xml:space="preserve">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</w:t>
            </w:r>
            <w:r>
              <w:rPr>
                <w:rFonts w:ascii="Times New Roman" w:hAnsi="Times New Roman"/>
                <w:sz w:val="28"/>
              </w:rPr>
              <w:t>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Отделу информационного обеспечения градостроительной деятельнос</w:t>
            </w:r>
            <w:r>
              <w:rPr>
                <w:rFonts w:ascii="Times New Roman" w:hAnsi="Times New Roman"/>
                <w:sz w:val="28"/>
              </w:rPr>
              <w:t xml:space="preserve">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Рязанский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Рязанского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 xml:space="preserve">на официальном сайте муниципального образования в </w:t>
            </w:r>
            <w:r>
              <w:rPr>
                <w:rFonts w:ascii="Times New Roman" w:hAnsi="Times New Roman"/>
                <w:sz w:val="28"/>
              </w:rPr>
              <w:t>сети «Интернет», публикацию в средствах массовой информации.</w:t>
            </w:r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сведения об изменении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градостроительного регламента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>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Рязанской области для внесения сведений в Единый государст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венный реестр недвижимости (ЕГРН) в течение 5 рабочих дней со дня 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правовой информации (</w:t>
            </w:r>
            <w:hyperlink r:id="rId10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D566D0" w:rsidRDefault="0038343D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566D0" w:rsidRDefault="00D566D0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D566D0" w:rsidRDefault="00D566D0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D566D0">
        <w:tc>
          <w:tcPr>
            <w:tcW w:w="9929" w:type="dxa"/>
          </w:tcPr>
          <w:p w:rsidR="00D566D0" w:rsidRDefault="0038343D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</w:t>
            </w:r>
            <w:r>
              <w:rPr>
                <w:sz w:val="28"/>
              </w:rPr>
              <w:t xml:space="preserve">              Р.В. Шашкин</w:t>
            </w:r>
          </w:p>
          <w:p w:rsidR="00D566D0" w:rsidRDefault="00D566D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566D0" w:rsidRDefault="00D566D0">
      <w:pPr>
        <w:sectPr w:rsidR="00D566D0">
          <w:headerReference w:type="default" r:id="rId11"/>
          <w:pgSz w:w="11906" w:h="16838"/>
          <w:pgMar w:top="1134" w:right="567" w:bottom="1134" w:left="1417" w:header="709" w:footer="0" w:gutter="0"/>
          <w:cols w:space="720"/>
          <w:formProt w:val="0"/>
          <w:titlePg/>
          <w:docGrid w:linePitch="360"/>
        </w:sectPr>
      </w:pPr>
    </w:p>
    <w:p w:rsidR="00D566D0" w:rsidRDefault="0038343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566D0" w:rsidRDefault="0038343D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Главархитектуры </w:t>
      </w:r>
    </w:p>
    <w:p w:rsidR="00D566D0" w:rsidRDefault="0038343D">
      <w:pPr>
        <w:widowControl w:val="0"/>
        <w:jc w:val="right"/>
        <w:rPr>
          <w:sz w:val="28"/>
        </w:rPr>
      </w:pPr>
      <w:r>
        <w:rPr>
          <w:sz w:val="28"/>
        </w:rPr>
        <w:t xml:space="preserve">Рязанской области </w:t>
      </w:r>
    </w:p>
    <w:p w:rsidR="00D566D0" w:rsidRDefault="0038343D">
      <w:pPr>
        <w:widowControl w:val="0"/>
        <w:tabs>
          <w:tab w:val="left" w:pos="709"/>
        </w:tabs>
        <w:ind w:left="35" w:hanging="35"/>
        <w:jc w:val="right"/>
        <w:rPr>
          <w:sz w:val="28"/>
        </w:rPr>
      </w:pPr>
      <w:r>
        <w:rPr>
          <w:sz w:val="28"/>
        </w:rPr>
        <w:t>от «</w:t>
      </w:r>
      <w:r w:rsidR="00E00E79">
        <w:rPr>
          <w:sz w:val="28"/>
        </w:rPr>
        <w:t>16</w:t>
      </w:r>
      <w:r>
        <w:rPr>
          <w:sz w:val="28"/>
        </w:rPr>
        <w:t xml:space="preserve">» </w:t>
      </w:r>
      <w:r w:rsidR="00E00E79">
        <w:rPr>
          <w:sz w:val="28"/>
        </w:rPr>
        <w:t>декабря2022 г. № 773-п</w:t>
      </w:r>
    </w:p>
    <w:p w:rsidR="00D566D0" w:rsidRDefault="00D566D0">
      <w:pPr>
        <w:widowControl w:val="0"/>
        <w:tabs>
          <w:tab w:val="left" w:pos="709"/>
        </w:tabs>
        <w:ind w:left="35" w:hanging="35"/>
        <w:jc w:val="right"/>
        <w:rPr>
          <w:sz w:val="28"/>
        </w:rPr>
      </w:pPr>
    </w:p>
    <w:tbl>
      <w:tblPr>
        <w:tblW w:w="9695" w:type="dxa"/>
        <w:tblInd w:w="17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010"/>
        <w:gridCol w:w="2550"/>
        <w:gridCol w:w="130"/>
      </w:tblGrid>
      <w:tr w:rsidR="00D566D0">
        <w:tc>
          <w:tcPr>
            <w:tcW w:w="9578" w:type="dxa"/>
            <w:gridSpan w:val="3"/>
            <w:tcBorders>
              <w:bottom w:val="single" w:sz="4" w:space="0" w:color="000000"/>
            </w:tcBorders>
          </w:tcPr>
          <w:p w:rsidR="00D566D0" w:rsidRDefault="0038343D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b/>
                <w:lang w:eastAsia="ru-RU"/>
              </w:rPr>
              <w:t>«11.3. Градостроительные регламенты.</w:t>
            </w:r>
            <w:r>
              <w:rPr>
                <w:rFonts w:eastAsia="Times New Roman" w:cs="Times New Roman"/>
                <w:b/>
                <w:lang w:eastAsia="ru-RU"/>
              </w:rPr>
              <w:t xml:space="preserve"> Многофункциональная общественно-деловая зона (2.1).</w:t>
            </w:r>
          </w:p>
          <w:p w:rsidR="00D566D0" w:rsidRDefault="00D566D0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D566D0" w:rsidRDefault="0038343D">
            <w:pPr>
              <w:ind w:firstLine="371"/>
              <w:jc w:val="both"/>
              <w:rPr>
                <w:rFonts w:eastAsia="Times New Roman" w:cs="Times New Roman"/>
                <w:sz w:val="28"/>
              </w:rPr>
            </w:pPr>
            <w:r>
              <w:rPr>
                <w:rFonts w:eastAsia="Calibri" w:cs="Times New Roman"/>
                <w:lang w:eastAsia="ru-RU"/>
              </w:rPr>
              <w:t>Многофункциональная общественно-деловая зона предназначена</w:t>
            </w:r>
            <w:r>
              <w:rPr>
                <w:rFonts w:eastAsia="Calibri" w:cs="Times New Roman"/>
                <w:lang w:eastAsia="ru-RU"/>
              </w:rPr>
              <w:br/>
              <w:t xml:space="preserve">для размещения объектов социального назначения, бытового обслуживания, культуры, общественного и делового управления, торговли и общественного </w:t>
            </w:r>
            <w:r>
              <w:rPr>
                <w:rFonts w:eastAsia="Calibri" w:cs="Times New Roman"/>
                <w:lang w:eastAsia="ru-RU"/>
              </w:rPr>
              <w:t xml:space="preserve">питания, гостиниц, а также необходимых объектов инженерной и транспортной инфраструктуры. </w:t>
            </w:r>
          </w:p>
          <w:p w:rsidR="00D566D0" w:rsidRDefault="0038343D">
            <w:pPr>
              <w:ind w:firstLine="371"/>
              <w:jc w:val="both"/>
              <w:rPr>
                <w:rFonts w:eastAsia="Times New Roman" w:cs="Times New Roman"/>
                <w:sz w:val="28"/>
              </w:rPr>
            </w:pPr>
            <w:r>
              <w:rPr>
                <w:rFonts w:eastAsia="Calibri" w:cs="Times New Roman"/>
                <w:lang w:eastAsia="ru-RU"/>
              </w:rPr>
              <w:t>Виды разрешенного использования в многофункциональной общественно-деловой зоне представлены в таблице ниже.</w:t>
            </w: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D566D0" w:rsidRDefault="00D566D0">
            <w:pPr>
              <w:rPr>
                <w:rFonts w:eastAsia="Times New Roman" w:cs="Times New Roman"/>
                <w:sz w:val="28"/>
              </w:rPr>
            </w:pPr>
          </w:p>
        </w:tc>
      </w:tr>
      <w:tr w:rsidR="00D566D0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Вид разрешенного использования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 xml:space="preserve">Наименование вида разрешенного </w:t>
            </w:r>
          </w:p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использования земельного участка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 разрешенного использования земельного участка</w:t>
            </w:r>
          </w:p>
        </w:tc>
      </w:tr>
      <w:tr w:rsidR="00D566D0"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cs="Times New Roman"/>
              </w:rPr>
              <w:t xml:space="preserve">Основные </w:t>
            </w:r>
          </w:p>
          <w:p w:rsidR="00D566D0" w:rsidRDefault="0038343D">
            <w:pPr>
              <w:rPr>
                <w:rFonts w:eastAsia="Times New Roman" w:cs="Times New Roman"/>
                <w:sz w:val="28"/>
              </w:rPr>
            </w:pPr>
            <w:r>
              <w:t>виды разрешенного использования зоны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коммунальное обслуживание;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kern w:val="2"/>
                <w:lang w:eastAsia="ru-RU"/>
              </w:rPr>
            </w:pPr>
            <w:r>
              <w:rPr>
                <w:rFonts w:cs="Times New Roman"/>
              </w:rPr>
              <w:t>социальное обслуживание;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kern w:val="2"/>
                <w:lang w:eastAsia="ru-RU"/>
              </w:rPr>
            </w:pPr>
            <w:r>
              <w:rPr>
                <w:rFonts w:cs="Times New Roman"/>
              </w:rPr>
              <w:t>бытовое обслуживание;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общественное управление;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3.8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деловое управление;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eastAsia="Times New Roman" w:cs="Times New Roman"/>
                <w:lang w:eastAsia="ru-RU"/>
              </w:rPr>
              <w:t>объекты торговли (торговые центры, торгово-развлекательные центры (комплексы);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4.2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рынки;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4.3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магазины;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4.4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банковская и страховая деятельность;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общественное питание;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4.6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 xml:space="preserve">гостиничное </w:t>
            </w:r>
            <w:r>
              <w:rPr>
                <w:rFonts w:cs="Times New Roman"/>
              </w:rPr>
              <w:t>обслуживание;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4.7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развлечение;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4.8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служебные гаражи;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4.9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cs="Times New Roman"/>
              </w:rPr>
              <w:t>выставочно</w:t>
            </w:r>
            <w:proofErr w:type="spellEnd"/>
            <w:r>
              <w:rPr>
                <w:rFonts w:cs="Times New Roman"/>
              </w:rPr>
              <w:t>-ярмарочная деятельность;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4.10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обеспечение внутреннего правопорядка;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8.3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историко-культурная деятельность;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9.3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земельные участки (территории) общего пользования.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</w:t>
            </w:r>
          </w:p>
        </w:tc>
      </w:tr>
      <w:tr w:rsidR="00D566D0">
        <w:tc>
          <w:tcPr>
            <w:tcW w:w="30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eastAsia="Times New Roman" w:cs="Times New Roman"/>
                <w:sz w:val="28"/>
              </w:rPr>
            </w:pPr>
            <w:r>
              <w:rPr>
                <w:rFonts w:cs="Times New Roman"/>
              </w:rPr>
              <w:t xml:space="preserve">Вспомогательные </w:t>
            </w:r>
          </w:p>
          <w:p w:rsidR="00D566D0" w:rsidRDefault="0038343D">
            <w:pPr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lang w:eastAsia="ru-RU"/>
              </w:rPr>
              <w:t>виды разрешенного использования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коммунальное обслуживание;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служебные гаражи.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4.9</w:t>
            </w:r>
          </w:p>
        </w:tc>
      </w:tr>
      <w:tr w:rsidR="00D566D0">
        <w:tc>
          <w:tcPr>
            <w:tcW w:w="30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Условно разрешенные виды разрешенного использования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ветеринарное обслуживание;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3.10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объекты дорожного сервиса;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4.9.1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sz w:val="28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 w:rsidR="00D566D0" w:rsidRDefault="0038343D">
            <w:pPr>
              <w:pStyle w:val="af9"/>
            </w:pPr>
            <w:r>
              <w:rPr>
                <w:rFonts w:cs="Times New Roman"/>
              </w:rPr>
              <w:t>спорт.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f9"/>
              <w:jc w:val="center"/>
            </w:pPr>
            <w:r>
              <w:rPr>
                <w:rFonts w:cs="Times New Roman"/>
              </w:rPr>
              <w:t>5.1</w:t>
            </w:r>
          </w:p>
        </w:tc>
      </w:tr>
      <w:tr w:rsidR="00D566D0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38343D">
            <w:pPr>
              <w:pStyle w:val="a9"/>
              <w:spacing w:after="0"/>
              <w:ind w:firstLine="51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      </w:r>
            <w:r>
              <w:rPr>
                <w:rFonts w:cs="Times New Roman"/>
              </w:rPr>
              <w:t>представлены в таблице ниже.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spacing w:line="270" w:lineRule="atLeast"/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Наименование размера, параметра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spacing w:line="270" w:lineRule="atLeast"/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 xml:space="preserve">Значение, единица измерения, </w:t>
            </w:r>
          </w:p>
          <w:p w:rsidR="00D566D0" w:rsidRDefault="0038343D">
            <w:pPr>
              <w:spacing w:line="270" w:lineRule="atLeast"/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дополнительные условия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cs="Times New Roman"/>
              </w:rPr>
              <w:t>Минимальный размер земельного участка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cs="Times New Roman"/>
              </w:rPr>
              <w:t>не подлежит установлению.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cs="Times New Roman"/>
              </w:rPr>
              <w:t>Максимальный размер земельного участка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cs="Times New Roman"/>
              </w:rPr>
              <w:t>не подлежит установлению.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cs="Times New Roman"/>
              </w:rPr>
              <w:t>Минимальная площадь земельного участка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cs="Times New Roman"/>
              </w:rPr>
              <w:t>не подлежит установлению.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cs="Times New Roman"/>
              </w:rPr>
              <w:t>Максимальная площадь земельного участка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не подлежит установлению.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rFonts w:cs="Times New Roman"/>
              </w:rPr>
              <w:t>строительство зданий, строений, сооружений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не подлежит установлению.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3 этажа (включая </w:t>
            </w:r>
            <w:proofErr w:type="gramStart"/>
            <w:r>
              <w:rPr>
                <w:rFonts w:cs="Times New Roman"/>
              </w:rPr>
              <w:t>мансардный</w:t>
            </w:r>
            <w:proofErr w:type="gramEnd"/>
            <w:r>
              <w:rPr>
                <w:rFonts w:cs="Times New Roman"/>
              </w:rPr>
              <w:t>).</w:t>
            </w:r>
          </w:p>
        </w:tc>
      </w:tr>
      <w:tr w:rsidR="00D566D0"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не подлежит установлению.</w:t>
            </w:r>
          </w:p>
        </w:tc>
      </w:tr>
      <w:tr w:rsidR="00D566D0">
        <w:tc>
          <w:tcPr>
            <w:tcW w:w="30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38343D">
            <w:pPr>
              <w:pStyle w:val="af9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Максимальный процент застройки в границах земельного участка</w:t>
            </w: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eastAsia="NSimSun" w:cs="Times New Roman"/>
                <w:kern w:val="2"/>
              </w:rPr>
            </w:pPr>
            <w:r>
              <w:rPr>
                <w:rFonts w:cs="Times New Roman"/>
              </w:rPr>
              <w:t>100% - для вида разрешенного использования с кодом 4.9;</w:t>
            </w:r>
          </w:p>
        </w:tc>
      </w:tr>
      <w:tr w:rsidR="00D566D0"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6D0" w:rsidRDefault="00D566D0">
            <w:pPr>
              <w:pStyle w:val="af9"/>
              <w:rPr>
                <w:rFonts w:eastAsia="Times New Roman" w:cs="Times New Roman"/>
                <w:sz w:val="28"/>
              </w:rPr>
            </w:pPr>
          </w:p>
        </w:tc>
        <w:tc>
          <w:tcPr>
            <w:tcW w:w="6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D0" w:rsidRDefault="0038343D">
            <w:pPr>
              <w:pStyle w:val="af9"/>
              <w:rPr>
                <w:rFonts w:cs="Times New Roman"/>
              </w:rPr>
            </w:pPr>
            <w:r>
              <w:rPr>
                <w:rFonts w:eastAsia="NSimSun" w:cs="Times New Roman"/>
                <w:kern w:val="2"/>
                <w:lang w:eastAsia="ru-RU"/>
              </w:rPr>
              <w:t xml:space="preserve">60% - </w:t>
            </w:r>
            <w:r>
              <w:rPr>
                <w:rFonts w:eastAsia="NSimSun" w:cs="Times New Roman"/>
                <w:kern w:val="2"/>
              </w:rPr>
              <w:t>для иных видов разрешенного использования.</w:t>
            </w:r>
          </w:p>
        </w:tc>
      </w:tr>
    </w:tbl>
    <w:p w:rsidR="00D566D0" w:rsidRDefault="0038343D">
      <w:pPr>
        <w:pStyle w:val="a9"/>
        <w:rPr>
          <w:rFonts w:eastAsia="Times New Roman" w:cs="Times New Roman"/>
          <w:sz w:val="28"/>
        </w:rPr>
      </w:pPr>
      <w:r>
        <w:t xml:space="preserve">                                                                                                                                                    »</w:t>
      </w:r>
    </w:p>
    <w:sectPr w:rsidR="00D566D0">
      <w:headerReference w:type="default" r:id="rId12"/>
      <w:pgSz w:w="11906" w:h="16838"/>
      <w:pgMar w:top="1134" w:right="56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3D" w:rsidRDefault="0038343D">
      <w:r>
        <w:separator/>
      </w:r>
    </w:p>
  </w:endnote>
  <w:endnote w:type="continuationSeparator" w:id="0">
    <w:p w:rsidR="0038343D" w:rsidRDefault="0038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1"/>
    <w:family w:val="swiss"/>
    <w:pitch w:val="default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3D" w:rsidRDefault="0038343D">
      <w:r>
        <w:separator/>
      </w:r>
    </w:p>
  </w:footnote>
  <w:footnote w:type="continuationSeparator" w:id="0">
    <w:p w:rsidR="0038343D" w:rsidRDefault="0038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D0" w:rsidRDefault="0038343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566D0" w:rsidRDefault="00D566D0">
    <w:pPr>
      <w:pStyle w:val="af6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D0" w:rsidRDefault="00D566D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1051E"/>
    <w:multiLevelType w:val="multilevel"/>
    <w:tmpl w:val="E244CCD8"/>
    <w:lvl w:ilvl="0">
      <w:start w:val="1"/>
      <w:numFmt w:val="decimal"/>
      <w:lvlText w:val="%1."/>
      <w:lvlJc w:val="left"/>
      <w:pPr>
        <w:ind w:left="1879" w:hanging="1170"/>
      </w:pPr>
      <w:rPr>
        <w:rFonts w:eastAsia="Tahoma" w:cs="Noto Sans Devanagari"/>
        <w:color w:val="000000"/>
        <w:kern w:val="0"/>
        <w:sz w:val="28"/>
        <w:szCs w:val="20"/>
        <w:lang w:val="ru-RU" w:eastAsia="zh-CN" w:bidi="hi-IN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7ADE777D"/>
    <w:multiLevelType w:val="multilevel"/>
    <w:tmpl w:val="81C4E3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D0"/>
    <w:rsid w:val="0038343D"/>
    <w:rsid w:val="00D566D0"/>
    <w:rsid w:val="00E0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90">
    <w:name w:val="Заголовок 9 Знак"/>
    <w:qFormat/>
    <w:rPr>
      <w:rFonts w:ascii="Cambria" w:eastAsia="Cambria" w:hAnsi="Cambria"/>
      <w:sz w:val="24"/>
      <w:szCs w:val="22"/>
      <w:lang w:val="en-US" w:eastAsia="zh-CN"/>
    </w:rPr>
  </w:style>
  <w:style w:type="character" w:customStyle="1" w:styleId="80">
    <w:name w:val="Заголовок 8 Знак"/>
    <w:qFormat/>
    <w:rPr>
      <w:rFonts w:ascii="Calibri" w:eastAsia="Calibri" w:hAnsi="Calibri"/>
      <w:i/>
      <w:iCs/>
      <w:sz w:val="24"/>
      <w:szCs w:val="24"/>
      <w:lang w:val="en-US" w:eastAsia="zh-CN"/>
    </w:rPr>
  </w:style>
  <w:style w:type="character" w:customStyle="1" w:styleId="70">
    <w:name w:val="Заголовок 7 Знак"/>
    <w:qFormat/>
    <w:rPr>
      <w:rFonts w:ascii="Calibri" w:eastAsia="Calibri" w:hAnsi="Calibri"/>
      <w:sz w:val="24"/>
      <w:szCs w:val="24"/>
      <w:lang w:val="en-US" w:eastAsia="zh-CN"/>
    </w:rPr>
  </w:style>
  <w:style w:type="character" w:customStyle="1" w:styleId="60">
    <w:name w:val="Заголовок 6 Знак"/>
    <w:qFormat/>
    <w:rPr>
      <w:b/>
      <w:sz w:val="24"/>
      <w:lang w:val="en-US" w:eastAsia="zh-CN"/>
    </w:rPr>
  </w:style>
  <w:style w:type="character" w:customStyle="1" w:styleId="52">
    <w:name w:val="Заголовок 5 Знак"/>
    <w:qFormat/>
    <w:rPr>
      <w:rFonts w:ascii="Calibri" w:eastAsia="Calibri" w:hAnsi="Calibri"/>
      <w:b/>
      <w:bCs/>
      <w:i/>
      <w:iCs/>
      <w:sz w:val="26"/>
      <w:szCs w:val="26"/>
      <w:lang w:val="en-US" w:eastAsia="zh-CN"/>
    </w:rPr>
  </w:style>
  <w:style w:type="character" w:customStyle="1" w:styleId="40">
    <w:name w:val="Заголовок 4 Знак"/>
    <w:qFormat/>
    <w:rPr>
      <w:rFonts w:ascii="Calibri" w:eastAsia="Calibri" w:hAnsi="Calibri"/>
      <w:b/>
      <w:bCs/>
      <w:sz w:val="28"/>
      <w:szCs w:val="28"/>
      <w:lang w:val="en-US" w:eastAsia="zh-CN"/>
    </w:rPr>
  </w:style>
  <w:style w:type="character" w:customStyle="1" w:styleId="30">
    <w:name w:val="Заголовок 3 Знак"/>
    <w:qFormat/>
    <w:rPr>
      <w:rFonts w:ascii="Cambria" w:eastAsia="Cambria" w:hAnsi="Cambria"/>
      <w:b/>
      <w:bCs/>
      <w:color w:val="4F81BD"/>
      <w:sz w:val="24"/>
      <w:szCs w:val="22"/>
      <w:lang w:eastAsia="zh-CN"/>
    </w:rPr>
  </w:style>
  <w:style w:type="character" w:customStyle="1" w:styleId="23">
    <w:name w:val="Заголовок 2 Знак"/>
    <w:qFormat/>
    <w:rPr>
      <w:rFonts w:ascii="Cambria" w:eastAsia="Cambria" w:hAnsi="Cambria"/>
      <w:b/>
      <w:bCs/>
      <w:i/>
      <w:iCs/>
      <w:sz w:val="28"/>
      <w:szCs w:val="28"/>
      <w:lang w:val="en-US" w:eastAsia="zh-CN"/>
    </w:rPr>
  </w:style>
  <w:style w:type="character" w:customStyle="1" w:styleId="1c">
    <w:name w:val="Заголовок 1 Знак"/>
    <w:qFormat/>
    <w:rPr>
      <w:rFonts w:eastAsia="Arial"/>
      <w:bCs/>
      <w:spacing w:val="4"/>
      <w:szCs w:val="28"/>
      <w:lang w:eastAsia="zh-CN"/>
    </w:rPr>
  </w:style>
  <w:style w:type="character" w:customStyle="1" w:styleId="a6">
    <w:name w:val="Текст выноски Знак"/>
    <w:qFormat/>
    <w:rPr>
      <w:rFonts w:ascii="Segoe UI" w:eastAsia="Mangal" w:hAnsi="Segoe UI"/>
      <w:kern w:val="2"/>
      <w:sz w:val="18"/>
      <w:szCs w:val="16"/>
      <w:lang w:eastAsia="hi-IN"/>
    </w:rPr>
  </w:style>
  <w:style w:type="character" w:customStyle="1" w:styleId="a7">
    <w:name w:val="Нижний колонтитул Знак"/>
    <w:qFormat/>
    <w:rPr>
      <w:rFonts w:ascii="Arial" w:eastAsia="Mangal" w:hAnsi="Arial"/>
      <w:kern w:val="2"/>
      <w:szCs w:val="24"/>
      <w:lang w:eastAsia="hi-IN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eastAsia="OpenSymbol"/>
      <w:color w:val="000000"/>
      <w:szCs w:val="28"/>
      <w:lang w:eastAsia="ru-RU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  <w:rPr>
      <w:rFonts w:ascii="Symbol" w:eastAsia="OpenSymbol" w:hAnsi="Symbol"/>
    </w:rPr>
  </w:style>
  <w:style w:type="character" w:customStyle="1" w:styleId="WW8Num4z0">
    <w:name w:val="WW8Num4z0"/>
    <w:qFormat/>
    <w:rPr>
      <w:rFonts w:ascii="Symbol" w:eastAsia="OpenSymbol" w:hAnsi="Symbol"/>
    </w:rPr>
  </w:style>
  <w:style w:type="character" w:customStyle="1" w:styleId="WW8Num3z0">
    <w:name w:val="WW8Num3z0"/>
    <w:qFormat/>
    <w:rPr>
      <w:rFonts w:ascii="Symbol" w:eastAsia="OpenSymbol" w:hAnsi="Symbol"/>
    </w:rPr>
  </w:style>
  <w:style w:type="character" w:customStyle="1" w:styleId="WW8Num2z0">
    <w:name w:val="WW8Num2z0"/>
    <w:qFormat/>
    <w:rPr>
      <w:rFonts w:ascii="Symbol" w:eastAsia="OpenSymbol" w:hAnsi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e">
    <w:name w:val="No Spacing"/>
    <w:uiPriority w:val="1"/>
    <w:qFormat/>
    <w:rPr>
      <w:sz w:val="26"/>
    </w:r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basedOn w:val="a"/>
    <w:qFormat/>
    <w:rPr>
      <w:rFonts w:ascii="Segoe UI" w:eastAsia="Segoe UI" w:hAnsi="Segoe UI"/>
      <w:sz w:val="18"/>
      <w:szCs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3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Liberation Serif"/>
      <w:b/>
      <w:bCs/>
      <w:color w:val="auto"/>
      <w:lang w:eastAsia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Liberation Serif"/>
      <w:color w:val="auto"/>
      <w:lang w:eastAsia="hi-IN"/>
    </w:rPr>
  </w:style>
  <w:style w:type="paragraph" w:customStyle="1" w:styleId="ConsPlusCell">
    <w:name w:val="ConsPlusCell"/>
    <w:qFormat/>
    <w:pPr>
      <w:widowControl w:val="0"/>
    </w:pPr>
    <w:rPr>
      <w:rFonts w:ascii="Arial" w:eastAsia="Arial" w:hAnsi="Arial" w:cs="Liberation Serif"/>
      <w:color w:val="auto"/>
      <w:lang w:eastAsia="hi-IN"/>
    </w:rPr>
  </w:style>
  <w:style w:type="paragraph" w:customStyle="1" w:styleId="ConsPlusDocList">
    <w:name w:val="ConsPlusDocList"/>
    <w:qFormat/>
    <w:pPr>
      <w:widowControl w:val="0"/>
    </w:pPr>
    <w:rPr>
      <w:rFonts w:ascii="Arial" w:eastAsia="Arial" w:hAnsi="Arial" w:cs="Liberation Serif"/>
      <w:color w:val="auto"/>
      <w:lang w:eastAsia="hi-IN"/>
    </w:rPr>
  </w:style>
  <w:style w:type="paragraph" w:customStyle="1" w:styleId="1f1">
    <w:name w:val="Указатель1"/>
    <w:basedOn w:val="a"/>
    <w:qFormat/>
  </w:style>
  <w:style w:type="paragraph" w:customStyle="1" w:styleId="1f2">
    <w:name w:val="Название1"/>
    <w:basedOn w:val="a"/>
    <w:qFormat/>
    <w:pPr>
      <w:spacing w:before="120" w:after="120"/>
    </w:pPr>
    <w:rPr>
      <w:i/>
      <w:iCs/>
    </w:rPr>
  </w:style>
  <w:style w:type="paragraph" w:customStyle="1" w:styleId="29">
    <w:name w:val="Указатель2"/>
    <w:basedOn w:val="a"/>
    <w:qFormat/>
  </w:style>
  <w:style w:type="paragraph" w:customStyle="1" w:styleId="2a">
    <w:name w:val="Название2"/>
    <w:basedOn w:val="a"/>
    <w:qFormat/>
    <w:pPr>
      <w:spacing w:before="120" w:after="120"/>
    </w:pPr>
    <w:rPr>
      <w:i/>
      <w:iCs/>
    </w:rPr>
  </w:style>
  <w:style w:type="paragraph" w:customStyle="1" w:styleId="af9">
    <w:name w:val="Содержимое таблицы"/>
    <w:basedOn w:val="a"/>
    <w:qFormat/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129</cp:revision>
  <cp:lastPrinted>2022-12-13T16:45:00Z</cp:lastPrinted>
  <dcterms:created xsi:type="dcterms:W3CDTF">2022-08-23T14:35:00Z</dcterms:created>
  <dcterms:modified xsi:type="dcterms:W3CDTF">2022-12-16T13:39:00Z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