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A8A" w:rsidRDefault="001852B9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AD1A8A" w:rsidRDefault="001852B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AD1A8A" w:rsidRDefault="001852B9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AD1A8A" w:rsidRDefault="00AD1A8A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AD1A8A" w:rsidRDefault="00AD1A8A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AD1A8A" w:rsidRDefault="001852B9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AD1A8A" w:rsidRDefault="00AD1A8A">
      <w:pPr>
        <w:tabs>
          <w:tab w:val="left" w:pos="709"/>
        </w:tabs>
        <w:jc w:val="center"/>
        <w:rPr>
          <w:sz w:val="28"/>
        </w:rPr>
      </w:pPr>
    </w:p>
    <w:p w:rsidR="00AD1A8A" w:rsidRDefault="00AD1A8A">
      <w:pPr>
        <w:tabs>
          <w:tab w:val="left" w:pos="709"/>
        </w:tabs>
        <w:jc w:val="center"/>
        <w:rPr>
          <w:sz w:val="28"/>
        </w:rPr>
      </w:pPr>
    </w:p>
    <w:p w:rsidR="00AD1A8A" w:rsidRDefault="0053619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26 декабря </w:t>
      </w:r>
      <w:r w:rsidR="001852B9">
        <w:rPr>
          <w:sz w:val="28"/>
        </w:rPr>
        <w:t xml:space="preserve">2022 г.                                                                     </w:t>
      </w:r>
      <w:r>
        <w:rPr>
          <w:sz w:val="28"/>
        </w:rPr>
        <w:t xml:space="preserve">                    </w:t>
      </w:r>
      <w:bookmarkStart w:id="0" w:name="_GoBack"/>
      <w:bookmarkEnd w:id="0"/>
      <w:r w:rsidR="001852B9">
        <w:rPr>
          <w:sz w:val="28"/>
        </w:rPr>
        <w:t xml:space="preserve">   </w:t>
      </w:r>
      <w:r>
        <w:rPr>
          <w:sz w:val="28"/>
        </w:rPr>
        <w:t>№ 804-п</w:t>
      </w:r>
    </w:p>
    <w:p w:rsidR="00AD1A8A" w:rsidRDefault="00AD1A8A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AD1A8A">
        <w:trPr>
          <w:trHeight w:val="1515"/>
        </w:trPr>
        <w:tc>
          <w:tcPr>
            <w:tcW w:w="9929" w:type="dxa"/>
          </w:tcPr>
          <w:p w:rsidR="00AD1A8A" w:rsidRDefault="00AD1A8A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AD1A8A" w:rsidRDefault="001852B9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 подготовке предложений о внесении изменений в генеральный план                  муниципального образования – Казачинское сельское поселение Шацкого муниципального района Рязанской области </w:t>
            </w:r>
          </w:p>
        </w:tc>
      </w:tr>
      <w:tr w:rsidR="00AD1A8A">
        <w:tc>
          <w:tcPr>
            <w:tcW w:w="9929" w:type="dxa"/>
          </w:tcPr>
          <w:p w:rsidR="00AD1A8A" w:rsidRDefault="001852B9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На основании обращения министерства имущественных и земельных от</w:t>
            </w:r>
            <w:r>
              <w:rPr>
                <w:sz w:val="28"/>
              </w:rPr>
              <w:t xml:space="preserve">ношений Рязанской области, статьи 24 Градостроительного кодекса Российской Федерации, статьи 2 Закона Рязанской области </w:t>
            </w:r>
            <w:r>
              <w:rPr>
                <w:sz w:val="28"/>
              </w:rPr>
              <w:br/>
              <w:t xml:space="preserve">от 28.12.2018 № 106-ОЗ «О перераспределении отдельных полномочий </w:t>
            </w:r>
            <w:r>
              <w:rPr>
                <w:sz w:val="28"/>
              </w:rPr>
              <w:br/>
              <w:t>в области градостроительной деятельности между органами местного само</w:t>
            </w:r>
            <w:r>
              <w:rPr>
                <w:sz w:val="28"/>
              </w:rPr>
              <w:t xml:space="preserve">управления муниципальных образований Рязанской области и органами государственной власти Рязанской области», с учетом решения комиссии </w:t>
            </w:r>
            <w:r>
              <w:rPr>
                <w:sz w:val="28"/>
              </w:rPr>
              <w:br/>
              <w:t>по территориальному планированию, землепользованию и застройке Рязанской области от 09.12.2022</w:t>
            </w:r>
            <w:proofErr w:type="gramEnd"/>
            <w:r>
              <w:rPr>
                <w:sz w:val="28"/>
              </w:rPr>
              <w:t xml:space="preserve">, </w:t>
            </w:r>
            <w:proofErr w:type="gramStart"/>
            <w:r>
              <w:rPr>
                <w:sz w:val="28"/>
              </w:rPr>
              <w:t>руководствуясь постановл</w:t>
            </w:r>
            <w:r>
              <w:rPr>
                <w:sz w:val="28"/>
              </w:rPr>
              <w:t xml:space="preserve">ениями Правительства Рязанской области </w:t>
            </w:r>
            <w:r>
              <w:rPr>
                <w:sz w:val="28"/>
                <w:highlight w:val="white"/>
              </w:rPr>
              <w:t xml:space="preserve">от 06.09.2022 № 320 «О реализации положений пункта 2 статьи 7 Федерального закона от 14.03.2022 № 58-ФЗ «О внесении изменений </w:t>
            </w:r>
            <w:r>
              <w:rPr>
                <w:sz w:val="28"/>
                <w:highlight w:val="white"/>
              </w:rPr>
              <w:br/>
              <w:t>в отдельные законодательные акты Российской Федерации»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от 06.08.2008 </w:t>
            </w:r>
            <w:r>
              <w:rPr>
                <w:sz w:val="28"/>
              </w:rPr>
              <w:br/>
              <w:t>№ 153 «Об утвержден</w:t>
            </w:r>
            <w:r>
              <w:rPr>
                <w:sz w:val="28"/>
              </w:rPr>
              <w:t xml:space="preserve">ии Положения о главном управлении архитектуры </w:t>
            </w:r>
            <w:r>
              <w:rPr>
                <w:sz w:val="28"/>
              </w:rPr>
              <w:br/>
              <w:t xml:space="preserve">и градостроительства Рязанской области», </w:t>
            </w:r>
            <w:r>
              <w:rPr>
                <w:color w:val="000000" w:themeColor="text1"/>
                <w:sz w:val="28"/>
                <w:highlight w:val="white"/>
              </w:rPr>
              <w:t>распоряжением Губернатора Рязанской области от 22.09.2022 № 372-рг</w:t>
            </w:r>
            <w:r>
              <w:rPr>
                <w:color w:val="000000" w:themeColor="text1"/>
                <w:sz w:val="28"/>
              </w:rPr>
              <w:t xml:space="preserve">, </w:t>
            </w:r>
            <w:r>
              <w:rPr>
                <w:sz w:val="28"/>
              </w:rPr>
              <w:t xml:space="preserve">главное управление архитектуры </w:t>
            </w:r>
            <w:r>
              <w:rPr>
                <w:sz w:val="28"/>
              </w:rPr>
              <w:br/>
              <w:t>и градостроительства Рязанской области ПОСТАНОВЛЯЕТ:</w:t>
            </w:r>
            <w:proofErr w:type="gramEnd"/>
          </w:p>
          <w:p w:rsidR="00AD1A8A" w:rsidRDefault="001852B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trike/>
                <w:sz w:val="28"/>
              </w:rPr>
            </w:pPr>
            <w:proofErr w:type="gramStart"/>
            <w:r>
              <w:rPr>
                <w:sz w:val="28"/>
              </w:rPr>
              <w:t xml:space="preserve">Приступить к подготовке проекта внесения изменений </w:t>
            </w:r>
            <w:r>
              <w:rPr>
                <w:sz w:val="28"/>
              </w:rPr>
              <w:br/>
              <w:t>в генеральный план муниципального образования – Казачинское сельское поселение Шацкого муниципального района Рязанской области, утвержденный постановлением главного управления архитектуры и градостроитель</w:t>
            </w:r>
            <w:r>
              <w:rPr>
                <w:sz w:val="28"/>
              </w:rPr>
              <w:t>ства Рязанской области от 19</w:t>
            </w:r>
            <w:r>
              <w:rPr>
                <w:sz w:val="28"/>
                <w:highlight w:val="white"/>
              </w:rPr>
              <w:t xml:space="preserve">.10.2020 № 670-п «Об утверждении Генерального плана муниципального образования – </w:t>
            </w:r>
            <w:r>
              <w:rPr>
                <w:sz w:val="28"/>
              </w:rPr>
              <w:t>Казачинское сельское поселение Шацкого</w:t>
            </w:r>
            <w:r>
              <w:rPr>
                <w:sz w:val="28"/>
                <w:highlight w:val="white"/>
              </w:rPr>
              <w:t xml:space="preserve"> муниципального района Рязанской области» </w:t>
            </w:r>
            <w:r>
              <w:rPr>
                <w:sz w:val="28"/>
              </w:rPr>
              <w:t>(далее – проект внесения изменений в генеральный план)</w:t>
            </w:r>
            <w:r>
              <w:rPr>
                <w:sz w:val="28"/>
                <w:highlight w:val="white"/>
              </w:rPr>
              <w:t xml:space="preserve">, </w:t>
            </w:r>
            <w:r>
              <w:rPr>
                <w:color w:val="auto"/>
                <w:sz w:val="28"/>
                <w:szCs w:val="28"/>
              </w:rPr>
              <w:t>в части изм</w:t>
            </w:r>
            <w:r>
              <w:rPr>
                <w:color w:val="auto"/>
                <w:sz w:val="28"/>
                <w:szCs w:val="28"/>
              </w:rPr>
              <w:t>енения функциональной зоны земельных участков с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кадастровыми номерами 62:24:0040213:356, площадью </w:t>
            </w:r>
            <w:r>
              <w:rPr>
                <w:color w:val="auto"/>
                <w:sz w:val="28"/>
                <w:szCs w:val="28"/>
              </w:rPr>
              <w:lastRenderedPageBreak/>
              <w:t xml:space="preserve">116000 кв. м, 62:24:0040213:357, площадью 13000 кв. м, </w:t>
            </w:r>
            <w:proofErr w:type="gramStart"/>
            <w:r>
              <w:rPr>
                <w:color w:val="auto"/>
                <w:sz w:val="28"/>
                <w:szCs w:val="28"/>
              </w:rPr>
              <w:t>расположенных</w:t>
            </w:r>
            <w:proofErr w:type="gramEnd"/>
            <w:r>
              <w:rPr>
                <w:color w:val="auto"/>
                <w:sz w:val="28"/>
                <w:szCs w:val="28"/>
              </w:rPr>
              <w:t xml:space="preserve"> </w:t>
            </w:r>
            <w:r>
              <w:rPr>
                <w:color w:val="auto"/>
                <w:sz w:val="28"/>
                <w:szCs w:val="28"/>
              </w:rPr>
              <w:br/>
              <w:t xml:space="preserve">по адресу: обл. Рязанская, р-н </w:t>
            </w:r>
            <w:proofErr w:type="spellStart"/>
            <w:r>
              <w:rPr>
                <w:color w:val="auto"/>
                <w:sz w:val="28"/>
                <w:szCs w:val="28"/>
              </w:rPr>
              <w:t>Шацкий</w:t>
            </w:r>
            <w:proofErr w:type="spellEnd"/>
            <w:r>
              <w:rPr>
                <w:color w:val="auto"/>
                <w:sz w:val="28"/>
                <w:szCs w:val="28"/>
              </w:rPr>
              <w:t>, вблизи с. Казачья Слобода на зону специального на</w:t>
            </w:r>
            <w:r>
              <w:rPr>
                <w:color w:val="auto"/>
                <w:sz w:val="28"/>
                <w:szCs w:val="28"/>
              </w:rPr>
              <w:t>значения.</w:t>
            </w:r>
          </w:p>
          <w:p w:rsidR="00AD1A8A" w:rsidRDefault="001852B9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 разработать проект</w:t>
            </w:r>
            <w:r>
              <w:rPr>
                <w:sz w:val="28"/>
                <w:szCs w:val="28"/>
              </w:rPr>
              <w:t xml:space="preserve"> внесения изменений в генеральный план</w:t>
            </w:r>
            <w:r>
              <w:rPr>
                <w:sz w:val="28"/>
              </w:rPr>
              <w:t xml:space="preserve">, обеспечить его размещение </w:t>
            </w:r>
            <w:r>
              <w:rPr>
                <w:sz w:val="28"/>
              </w:rPr>
              <w:br/>
              <w:t xml:space="preserve">в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</w:t>
            </w:r>
            <w:r>
              <w:rPr>
                <w:rFonts w:eastAsia="Times New Roman" w:cs="Times New Roman"/>
                <w:sz w:val="28"/>
              </w:rPr>
              <w:t>ой системе территориального планирования и согласование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установленный законодательством срок </w:t>
            </w:r>
            <w:r>
              <w:rPr>
                <w:sz w:val="28"/>
                <w:szCs w:val="28"/>
              </w:rPr>
              <w:br/>
              <w:t>и порядке.</w:t>
            </w:r>
          </w:p>
          <w:p w:rsidR="00AD1A8A" w:rsidRDefault="001852B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Отделу кадровой работы и делопроизводства обеспечить опубликование настоящего постановления в сетевом издании «Рязанские ведомости» (www.rv-ryazan.ru</w:t>
            </w:r>
            <w:r>
              <w:rPr>
                <w:sz w:val="28"/>
              </w:rPr>
              <w:t>)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AD1A8A" w:rsidRDefault="001852B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 управления</w:t>
            </w:r>
            <w:r>
              <w:rPr>
                <w:sz w:val="28"/>
              </w:rPr>
              <w:t xml:space="preserve"> архитектуры и градостроительства Рязанской области         в сети «Интернет».</w:t>
            </w:r>
          </w:p>
          <w:p w:rsidR="00AD1A8A" w:rsidRDefault="001852B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Шацкий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Казачинское сельское поселение Шацкого муниципальн</w:t>
            </w:r>
            <w:r>
              <w:rPr>
                <w:sz w:val="28"/>
              </w:rPr>
              <w:t>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AD1A8A" w:rsidRDefault="001852B9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</w:t>
            </w:r>
            <w:r>
              <w:rPr>
                <w:color w:val="auto"/>
                <w:sz w:val="28"/>
                <w:szCs w:val="28"/>
              </w:rPr>
              <w:t>возложить</w:t>
            </w:r>
            <w:r>
              <w:rPr>
                <w:color w:val="auto"/>
                <w:sz w:val="28"/>
                <w:szCs w:val="28"/>
              </w:rPr>
              <w:br/>
              <w:t>на замести</w:t>
            </w:r>
            <w:r>
              <w:rPr>
                <w:color w:val="auto"/>
                <w:sz w:val="28"/>
                <w:szCs w:val="28"/>
              </w:rPr>
              <w:t>теля начальника главного управления архитектуры</w:t>
            </w:r>
            <w:r>
              <w:rPr>
                <w:color w:val="auto"/>
                <w:sz w:val="28"/>
                <w:szCs w:val="28"/>
              </w:rPr>
              <w:br/>
              <w:t xml:space="preserve">и градостроительства Рязанской области Н.А. </w:t>
            </w:r>
            <w:proofErr w:type="spellStart"/>
            <w:r>
              <w:rPr>
                <w:color w:val="auto"/>
                <w:sz w:val="28"/>
                <w:szCs w:val="28"/>
              </w:rPr>
              <w:t>Дыкину</w:t>
            </w:r>
            <w:proofErr w:type="spellEnd"/>
            <w:r>
              <w:rPr>
                <w:color w:val="auto"/>
                <w:sz w:val="28"/>
                <w:szCs w:val="28"/>
              </w:rPr>
              <w:t>.</w:t>
            </w:r>
          </w:p>
          <w:p w:rsidR="00AD1A8A" w:rsidRDefault="00AD1A8A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AD1A8A" w:rsidRDefault="00AD1A8A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AD1A8A" w:rsidRDefault="00AD1A8A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AD1A8A">
        <w:tc>
          <w:tcPr>
            <w:tcW w:w="9929" w:type="dxa"/>
          </w:tcPr>
          <w:p w:rsidR="00AD1A8A" w:rsidRDefault="001852B9">
            <w:pPr>
              <w:pStyle w:val="32"/>
              <w:tabs>
                <w:tab w:val="left" w:pos="709"/>
                <w:tab w:val="left" w:pos="1149"/>
              </w:tabs>
              <w:rPr>
                <w:rFonts w:ascii="Times New Roman" w:eastAsia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lastRenderedPageBreak/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. начальника                                                                                        Р.В. Шашкин</w:t>
            </w:r>
          </w:p>
          <w:p w:rsidR="00AD1A8A" w:rsidRDefault="00AD1A8A">
            <w:pPr>
              <w:tabs>
                <w:tab w:val="left" w:pos="709"/>
              </w:tabs>
              <w:rPr>
                <w:rFonts w:eastAsia="Times New Roman" w:cs="Times New Roman"/>
                <w:sz w:val="28"/>
              </w:rPr>
            </w:pPr>
          </w:p>
          <w:p w:rsidR="00AD1A8A" w:rsidRDefault="00AD1A8A">
            <w:pPr>
              <w:tabs>
                <w:tab w:val="left" w:pos="709"/>
              </w:tabs>
              <w:rPr>
                <w:sz w:val="28"/>
              </w:rPr>
            </w:pPr>
          </w:p>
          <w:p w:rsidR="00AD1A8A" w:rsidRDefault="00AD1A8A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AD1A8A" w:rsidRDefault="00AD1A8A">
      <w:pPr>
        <w:tabs>
          <w:tab w:val="left" w:pos="709"/>
        </w:tabs>
        <w:jc w:val="both"/>
        <w:rPr>
          <w:sz w:val="28"/>
        </w:rPr>
      </w:pPr>
    </w:p>
    <w:p w:rsidR="00AD1A8A" w:rsidRDefault="00AD1A8A"/>
    <w:sectPr w:rsidR="00AD1A8A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2B9" w:rsidRDefault="001852B9">
      <w:pPr>
        <w:pStyle w:val="32"/>
      </w:pPr>
      <w:r>
        <w:separator/>
      </w:r>
    </w:p>
  </w:endnote>
  <w:endnote w:type="continuationSeparator" w:id="0">
    <w:p w:rsidR="001852B9" w:rsidRDefault="001852B9">
      <w:pPr>
        <w:pStyle w:val="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2B9" w:rsidRDefault="001852B9">
      <w:pPr>
        <w:pStyle w:val="32"/>
      </w:pPr>
      <w:r>
        <w:separator/>
      </w:r>
    </w:p>
  </w:footnote>
  <w:footnote w:type="continuationSeparator" w:id="0">
    <w:p w:rsidR="001852B9" w:rsidRDefault="001852B9">
      <w:pPr>
        <w:pStyle w:val="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1A8A" w:rsidRDefault="001852B9">
    <w:pPr>
      <w:pStyle w:val="ac"/>
      <w:jc w:val="center"/>
      <w:rPr>
        <w:sz w:val="28"/>
      </w:rPr>
    </w:pPr>
    <w:r>
      <w:rPr>
        <w:sz w:val="28"/>
      </w:rPr>
      <w:t>2</w:t>
    </w:r>
  </w:p>
  <w:p w:rsidR="00AD1A8A" w:rsidRDefault="00AD1A8A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5681"/>
    <w:multiLevelType w:val="multilevel"/>
    <w:tmpl w:val="439AEE0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">
    <w:nsid w:val="0DE7799F"/>
    <w:multiLevelType w:val="multilevel"/>
    <w:tmpl w:val="FF1220A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">
    <w:nsid w:val="0EF3373D"/>
    <w:multiLevelType w:val="multilevel"/>
    <w:tmpl w:val="54DC097A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2724760"/>
    <w:multiLevelType w:val="multilevel"/>
    <w:tmpl w:val="EA6E060E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4">
    <w:nsid w:val="180415FC"/>
    <w:multiLevelType w:val="multilevel"/>
    <w:tmpl w:val="86AE407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1ABE331D"/>
    <w:multiLevelType w:val="multilevel"/>
    <w:tmpl w:val="1BFE64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6">
    <w:nsid w:val="1BB40FA4"/>
    <w:multiLevelType w:val="multilevel"/>
    <w:tmpl w:val="D200F76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27D9686C"/>
    <w:multiLevelType w:val="multilevel"/>
    <w:tmpl w:val="301E7C76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8">
    <w:nsid w:val="2B5F2615"/>
    <w:multiLevelType w:val="multilevel"/>
    <w:tmpl w:val="5E3C8AC8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31013462"/>
    <w:multiLevelType w:val="multilevel"/>
    <w:tmpl w:val="B9ACA0D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38142313"/>
    <w:multiLevelType w:val="multilevel"/>
    <w:tmpl w:val="225A33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3A9933A1"/>
    <w:multiLevelType w:val="multilevel"/>
    <w:tmpl w:val="012A0B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40F54AA9"/>
    <w:multiLevelType w:val="multilevel"/>
    <w:tmpl w:val="6B5ABD4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3">
    <w:nsid w:val="43F14035"/>
    <w:multiLevelType w:val="multilevel"/>
    <w:tmpl w:val="336C128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4">
    <w:nsid w:val="445D5C19"/>
    <w:multiLevelType w:val="multilevel"/>
    <w:tmpl w:val="E0689A0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5">
    <w:nsid w:val="45160CFB"/>
    <w:multiLevelType w:val="multilevel"/>
    <w:tmpl w:val="9F6C759C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6">
    <w:nsid w:val="455F19A0"/>
    <w:multiLevelType w:val="hybridMultilevel"/>
    <w:tmpl w:val="924A8E16"/>
    <w:lvl w:ilvl="0" w:tplc="7C647130">
      <w:start w:val="1"/>
      <w:numFmt w:val="none"/>
      <w:suff w:val="nothing"/>
      <w:lvlText w:val=""/>
      <w:lvlJc w:val="left"/>
      <w:pPr>
        <w:ind w:left="0" w:firstLine="0"/>
      </w:pPr>
    </w:lvl>
    <w:lvl w:ilvl="1" w:tplc="9C4819C0">
      <w:start w:val="1"/>
      <w:numFmt w:val="none"/>
      <w:suff w:val="nothing"/>
      <w:lvlText w:val=""/>
      <w:lvlJc w:val="left"/>
      <w:pPr>
        <w:ind w:left="0" w:firstLine="0"/>
      </w:pPr>
    </w:lvl>
    <w:lvl w:ilvl="2" w:tplc="1B54D932">
      <w:start w:val="1"/>
      <w:numFmt w:val="none"/>
      <w:suff w:val="nothing"/>
      <w:lvlText w:val=""/>
      <w:lvlJc w:val="left"/>
      <w:pPr>
        <w:ind w:left="0" w:firstLine="0"/>
      </w:pPr>
    </w:lvl>
    <w:lvl w:ilvl="3" w:tplc="FF9E057E">
      <w:start w:val="1"/>
      <w:numFmt w:val="none"/>
      <w:suff w:val="nothing"/>
      <w:lvlText w:val=""/>
      <w:lvlJc w:val="left"/>
      <w:pPr>
        <w:ind w:left="0" w:firstLine="0"/>
      </w:pPr>
    </w:lvl>
    <w:lvl w:ilvl="4" w:tplc="FE3E3FBA">
      <w:start w:val="1"/>
      <w:numFmt w:val="none"/>
      <w:suff w:val="nothing"/>
      <w:lvlText w:val=""/>
      <w:lvlJc w:val="left"/>
      <w:pPr>
        <w:ind w:left="0" w:firstLine="0"/>
      </w:pPr>
    </w:lvl>
    <w:lvl w:ilvl="5" w:tplc="0F08E92A">
      <w:start w:val="1"/>
      <w:numFmt w:val="none"/>
      <w:suff w:val="nothing"/>
      <w:lvlText w:val=""/>
      <w:lvlJc w:val="left"/>
      <w:pPr>
        <w:ind w:left="0" w:firstLine="0"/>
      </w:pPr>
    </w:lvl>
    <w:lvl w:ilvl="6" w:tplc="AE02FAD0">
      <w:start w:val="1"/>
      <w:numFmt w:val="none"/>
      <w:suff w:val="nothing"/>
      <w:lvlText w:val=""/>
      <w:lvlJc w:val="left"/>
      <w:pPr>
        <w:ind w:left="0" w:firstLine="0"/>
      </w:pPr>
    </w:lvl>
    <w:lvl w:ilvl="7" w:tplc="B3EE5868">
      <w:start w:val="1"/>
      <w:numFmt w:val="none"/>
      <w:suff w:val="nothing"/>
      <w:lvlText w:val=""/>
      <w:lvlJc w:val="left"/>
      <w:pPr>
        <w:ind w:left="0" w:firstLine="0"/>
      </w:pPr>
    </w:lvl>
    <w:lvl w:ilvl="8" w:tplc="01EE85BA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>
    <w:nsid w:val="4B250891"/>
    <w:multiLevelType w:val="multilevel"/>
    <w:tmpl w:val="5E46196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>
    <w:nsid w:val="4BCC0B1A"/>
    <w:multiLevelType w:val="multilevel"/>
    <w:tmpl w:val="D7C65A2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9">
    <w:nsid w:val="4CE11BEE"/>
    <w:multiLevelType w:val="multilevel"/>
    <w:tmpl w:val="E2427EB0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20">
    <w:nsid w:val="4E4F6F12"/>
    <w:multiLevelType w:val="multilevel"/>
    <w:tmpl w:val="CE7AC07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>
    <w:nsid w:val="507974A3"/>
    <w:multiLevelType w:val="multilevel"/>
    <w:tmpl w:val="3BC8DAE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2">
    <w:nsid w:val="5E4E1695"/>
    <w:multiLevelType w:val="multilevel"/>
    <w:tmpl w:val="9C505A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6EB14EF2"/>
    <w:multiLevelType w:val="multilevel"/>
    <w:tmpl w:val="F32204D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4">
    <w:nsid w:val="71A22EBF"/>
    <w:multiLevelType w:val="multilevel"/>
    <w:tmpl w:val="53DC9C3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>
    <w:nsid w:val="73F9560E"/>
    <w:multiLevelType w:val="multilevel"/>
    <w:tmpl w:val="FA4A6E84"/>
    <w:lvl w:ilvl="0">
      <w:start w:val="1"/>
      <w:numFmt w:val="decimal"/>
      <w:lvlText w:val="%1."/>
      <w:lvlJc w:val="left"/>
      <w:pPr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6">
    <w:nsid w:val="74151ED5"/>
    <w:multiLevelType w:val="multilevel"/>
    <w:tmpl w:val="1D383AD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3"/>
  </w:num>
  <w:num w:numId="2">
    <w:abstractNumId w:val="16"/>
  </w:num>
  <w:num w:numId="3">
    <w:abstractNumId w:val="5"/>
  </w:num>
  <w:num w:numId="4">
    <w:abstractNumId w:val="26"/>
  </w:num>
  <w:num w:numId="5">
    <w:abstractNumId w:val="21"/>
  </w:num>
  <w:num w:numId="6">
    <w:abstractNumId w:val="22"/>
  </w:num>
  <w:num w:numId="7">
    <w:abstractNumId w:val="9"/>
  </w:num>
  <w:num w:numId="8">
    <w:abstractNumId w:val="12"/>
  </w:num>
  <w:num w:numId="9">
    <w:abstractNumId w:val="14"/>
  </w:num>
  <w:num w:numId="10">
    <w:abstractNumId w:val="20"/>
  </w:num>
  <w:num w:numId="11">
    <w:abstractNumId w:val="24"/>
  </w:num>
  <w:num w:numId="12">
    <w:abstractNumId w:val="1"/>
  </w:num>
  <w:num w:numId="13">
    <w:abstractNumId w:val="10"/>
  </w:num>
  <w:num w:numId="14">
    <w:abstractNumId w:val="11"/>
  </w:num>
  <w:num w:numId="15">
    <w:abstractNumId w:val="23"/>
  </w:num>
  <w:num w:numId="16">
    <w:abstractNumId w:val="18"/>
  </w:num>
  <w:num w:numId="17">
    <w:abstractNumId w:val="4"/>
  </w:num>
  <w:num w:numId="18">
    <w:abstractNumId w:val="0"/>
  </w:num>
  <w:num w:numId="19">
    <w:abstractNumId w:val="17"/>
  </w:num>
  <w:num w:numId="20">
    <w:abstractNumId w:val="8"/>
  </w:num>
  <w:num w:numId="21">
    <w:abstractNumId w:val="7"/>
  </w:num>
  <w:num w:numId="22">
    <w:abstractNumId w:val="6"/>
  </w:num>
  <w:num w:numId="23">
    <w:abstractNumId w:val="13"/>
  </w:num>
  <w:num w:numId="24">
    <w:abstractNumId w:val="19"/>
  </w:num>
  <w:num w:numId="25">
    <w:abstractNumId w:val="2"/>
  </w:num>
  <w:num w:numId="26">
    <w:abstractNumId w:val="15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A8A"/>
    <w:rsid w:val="001852B9"/>
    <w:rsid w:val="00536192"/>
    <w:rsid w:val="00AD1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a5">
    <w:name w:val="Название Знак"/>
    <w:link w:val="a6"/>
    <w:uiPriority w:val="10"/>
    <w:rPr>
      <w:sz w:val="48"/>
      <w:szCs w:val="48"/>
    </w:rPr>
  </w:style>
  <w:style w:type="character" w:customStyle="1" w:styleId="a7">
    <w:name w:val="Подзаголовок Знак"/>
    <w:link w:val="a8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ab">
    <w:name w:val="Верхний колонтитул Знак"/>
    <w:link w:val="ac"/>
    <w:uiPriority w:val="99"/>
  </w:style>
  <w:style w:type="character" w:customStyle="1" w:styleId="FooterChar">
    <w:name w:val="Footer Char"/>
    <w:uiPriority w:val="99"/>
  </w:style>
  <w:style w:type="character" w:customStyle="1" w:styleId="ad">
    <w:name w:val="Нижний колонтитул Знак"/>
    <w:link w:val="ae"/>
    <w:uiPriority w:val="99"/>
  </w:style>
  <w:style w:type="table" w:styleId="af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af6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Textbody">
    <w:name w:val="Text body"/>
    <w:qFormat/>
  </w:style>
  <w:style w:type="character" w:customStyle="1" w:styleId="10">
    <w:name w:val="Абзац списка1"/>
    <w:qFormat/>
  </w:style>
  <w:style w:type="character" w:customStyle="1" w:styleId="Contents2">
    <w:name w:val="Contents 2"/>
    <w:qFormat/>
  </w:style>
  <w:style w:type="character" w:customStyle="1" w:styleId="Contents4">
    <w:name w:val="Contents 4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3">
    <w:name w:val="Верхний колонтитул1"/>
    <w:qFormat/>
  </w:style>
  <w:style w:type="character" w:customStyle="1" w:styleId="Contents7">
    <w:name w:val="Contents 7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ConsPlusNormal">
    <w:name w:val="ConsPlusNormal Знак"/>
    <w:qFormat/>
    <w:rPr>
      <w:rFonts w:ascii="Arial" w:hAnsi="Arial"/>
      <w:sz w:val="20"/>
    </w:rPr>
  </w:style>
  <w:style w:type="character" w:customStyle="1" w:styleId="14">
    <w:name w:val="Название объекта1"/>
    <w:qFormat/>
    <w:rPr>
      <w:b/>
      <w:sz w:val="36"/>
    </w:rPr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ConsPlusNormal0">
    <w:name w:val="ConsPlusNormal"/>
    <w:qFormat/>
    <w:rPr>
      <w:rFonts w:ascii="Arial" w:hAnsi="Arial"/>
      <w:sz w:val="20"/>
    </w:rPr>
  </w:style>
  <w:style w:type="character" w:customStyle="1" w:styleId="16">
    <w:name w:val="Основной шрифт абзаца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210">
    <w:name w:val="Основной текст 21"/>
    <w:qFormat/>
    <w:rPr>
      <w:sz w:val="28"/>
    </w:rPr>
  </w:style>
  <w:style w:type="character" w:customStyle="1" w:styleId="17">
    <w:name w:val="Список1"/>
    <w:basedOn w:val="Textbody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5">
    <w:name w:val="Contents 5"/>
    <w:qFormat/>
  </w:style>
  <w:style w:type="character" w:customStyle="1" w:styleId="Contents9">
    <w:name w:val="Contents 9"/>
    <w:qFormat/>
  </w:style>
  <w:style w:type="character" w:customStyle="1" w:styleId="af8">
    <w:name w:val="Заголовок"/>
    <w:qFormat/>
    <w:rPr>
      <w:rFonts w:ascii="Liberation Sans" w:hAnsi="Liberation Sans"/>
      <w:sz w:val="28"/>
    </w:rPr>
  </w:style>
  <w:style w:type="character" w:customStyle="1" w:styleId="18">
    <w:name w:val="Нижний колонтитул1"/>
    <w:qFormat/>
  </w:style>
  <w:style w:type="character" w:customStyle="1" w:styleId="23">
    <w:name w:val="Название объекта2"/>
    <w:qFormat/>
    <w:rPr>
      <w:i/>
      <w:sz w:val="24"/>
    </w:rPr>
  </w:style>
  <w:style w:type="character" w:customStyle="1" w:styleId="19">
    <w:name w:val="Указатель1"/>
    <w:qFormat/>
  </w:style>
  <w:style w:type="character" w:customStyle="1" w:styleId="1a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toc10">
    <w:name w:val="toc 10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4">
    <w:name w:val="Основной шрифт абзаца2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afe">
    <w:name w:val="List Paragraph"/>
    <w:qFormat/>
    <w:rPr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aff">
    <w:name w:val="Balloon Text"/>
    <w:qFormat/>
    <w:rPr>
      <w:rFonts w:ascii="Tahoma" w:hAnsi="Tahoma"/>
      <w:sz w:val="16"/>
    </w:rPr>
  </w:style>
  <w:style w:type="paragraph" w:customStyle="1" w:styleId="Footnote0">
    <w:name w:val="Footnote"/>
    <w:qFormat/>
    <w:pPr>
      <w:spacing w:after="200" w:line="276" w:lineRule="auto"/>
    </w:pPr>
    <w:rPr>
      <w:rFonts w:ascii="XO Thames" w:hAnsi="XO Thames"/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aff0">
    <w:name w:val="Верхний и нижний колонтитулы"/>
    <w:qFormat/>
    <w:rPr>
      <w:rFonts w:ascii="XO Thames" w:hAnsi="XO Thames"/>
    </w:rPr>
  </w:style>
  <w:style w:type="paragraph" w:styleId="ac">
    <w:name w:val="header"/>
    <w:basedOn w:val="a"/>
    <w:link w:val="ab"/>
    <w:pPr>
      <w:tabs>
        <w:tab w:val="center" w:pos="4677"/>
        <w:tab w:val="right" w:pos="9355"/>
      </w:tabs>
    </w:p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sPlusNormal1">
    <w:name w:val="ConsPlusNormal Знак"/>
    <w:qFormat/>
    <w:rPr>
      <w:rFonts w:ascii="Arial" w:hAnsi="Arial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sPlusNormal2">
    <w:name w:val="ConsPlusNormal"/>
    <w:qFormat/>
    <w:rPr>
      <w:rFonts w:ascii="Arial" w:hAnsi="Arial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30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32">
    <w:name w:val="Основной шрифт абзаца3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70">
    <w:name w:val="Contents 7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e">
    <w:name w:val="footer"/>
    <w:link w:val="ad"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a8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6">
    <w:name w:val="Title"/>
    <w:next w:val="a"/>
    <w:link w:val="a5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28">
    <w:name w:val="Основной шрифт абзаца2"/>
    <w:qFormat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43</cp:revision>
  <cp:lastPrinted>2022-12-27T09:01:00Z</cp:lastPrinted>
  <dcterms:created xsi:type="dcterms:W3CDTF">2022-06-07T13:54:00Z</dcterms:created>
  <dcterms:modified xsi:type="dcterms:W3CDTF">2022-12-27T09:06:00Z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