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51E2" w:rsidRDefault="009B652B">
      <w:pPr>
        <w:keepNext/>
        <w:spacing w:before="0" w:after="0"/>
        <w:ind w:left="5670"/>
        <w:jc w:val="left"/>
      </w:pPr>
      <w:r>
        <w:t xml:space="preserve">Утвержден </w:t>
      </w:r>
    </w:p>
    <w:p w:rsidR="00E551E2" w:rsidRDefault="009B652B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E551E2" w:rsidRDefault="009B652B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E551E2" w:rsidRDefault="009B652B">
      <w:pPr>
        <w:keepNext/>
        <w:spacing w:before="0" w:after="0"/>
        <w:ind w:left="5670"/>
        <w:jc w:val="left"/>
      </w:pPr>
      <w:r>
        <w:t>Рязанской области</w:t>
      </w:r>
    </w:p>
    <w:p w:rsidR="00E551E2" w:rsidRDefault="00D74D78">
      <w:pPr>
        <w:keepNext/>
        <w:tabs>
          <w:tab w:val="left" w:pos="5100"/>
        </w:tabs>
        <w:spacing w:before="0" w:after="0"/>
        <w:ind w:left="5670"/>
        <w:jc w:val="left"/>
      </w:pPr>
      <w:r>
        <w:t>от 19 января 2023 г.</w:t>
      </w:r>
      <w:r w:rsidR="009B652B">
        <w:t xml:space="preserve"> №</w:t>
      </w:r>
      <w:r>
        <w:t xml:space="preserve"> 21-п</w:t>
      </w:r>
      <w:bookmarkStart w:id="0" w:name="_GoBack"/>
      <w:bookmarkEnd w:id="0"/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9B652B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E551E2" w:rsidRDefault="009B652B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Ольховское</w:t>
      </w:r>
      <w:proofErr w:type="spellEnd"/>
      <w:r>
        <w:rPr>
          <w:sz w:val="32"/>
          <w:szCs w:val="32"/>
        </w:rPr>
        <w:t xml:space="preserve"> сельское поселение </w:t>
      </w:r>
    </w:p>
    <w:p w:rsidR="00E551E2" w:rsidRDefault="009B652B">
      <w:pPr>
        <w:pStyle w:val="a7"/>
        <w:spacing w:after="6"/>
        <w:ind w:firstLine="0"/>
        <w:jc w:val="center"/>
      </w:pPr>
      <w:r>
        <w:rPr>
          <w:sz w:val="32"/>
          <w:szCs w:val="32"/>
        </w:rPr>
        <w:t>Шацкого муниципального района Рязанской области</w:t>
      </w:r>
    </w:p>
    <w:p w:rsidR="00E551E2" w:rsidRDefault="009B652B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9B652B">
      <w:pPr>
        <w:pStyle w:val="a7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E551E2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E551E2" w:rsidRDefault="009B652B">
      <w:pPr>
        <w:pStyle w:val="1"/>
        <w:numPr>
          <w:ilvl w:val="0"/>
          <w:numId w:val="1"/>
        </w:numPr>
        <w:ind w:firstLine="567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E551E2" w:rsidRDefault="00E551E2">
      <w:pPr>
        <w:pStyle w:val="a7"/>
        <w:rPr>
          <w:szCs w:val="28"/>
        </w:rPr>
      </w:pPr>
    </w:p>
    <w:p w:rsidR="00E551E2" w:rsidRDefault="009B652B">
      <w:pPr>
        <w:pStyle w:val="a7"/>
        <w:rPr>
          <w:color w:val="auto"/>
        </w:rPr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Ольховское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Шацкого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E551E2" w:rsidRDefault="00E551E2">
      <w:pPr>
        <w:pStyle w:val="a7"/>
        <w:rPr>
          <w:color w:val="auto"/>
        </w:rPr>
      </w:pPr>
    </w:p>
    <w:p w:rsidR="00E551E2" w:rsidRDefault="009B652B">
      <w:pPr>
        <w:pStyle w:val="1"/>
        <w:numPr>
          <w:ilvl w:val="0"/>
          <w:numId w:val="1"/>
        </w:numPr>
        <w:ind w:firstLine="567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E551E2" w:rsidRDefault="00E551E2">
      <w:pPr>
        <w:pStyle w:val="a7"/>
        <w:rPr>
          <w:color w:val="auto"/>
          <w:szCs w:val="28"/>
        </w:rPr>
      </w:pPr>
    </w:p>
    <w:p w:rsidR="00E551E2" w:rsidRDefault="009B652B">
      <w:pPr>
        <w:pStyle w:val="a7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E551E2" w:rsidRDefault="009B652B">
      <w:pPr>
        <w:pStyle w:val="a7"/>
        <w:rPr>
          <w:color w:val="auto"/>
        </w:rPr>
      </w:pPr>
      <w:r>
        <w:rPr>
          <w:color w:val="auto"/>
        </w:rPr>
        <w:t xml:space="preserve">Согласно части 12 статьи 9 Градостроительного кодекса Российской Федерации установлено, что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</w:p>
    <w:p w:rsidR="00E551E2" w:rsidRDefault="009B652B">
      <w:pPr>
        <w:pStyle w:val="a7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–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Ольховское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Шацкого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E551E2" w:rsidRDefault="00E551E2">
      <w:pPr>
        <w:pStyle w:val="a7"/>
        <w:rPr>
          <w:color w:val="auto"/>
        </w:rPr>
      </w:pPr>
    </w:p>
    <w:p w:rsidR="00E551E2" w:rsidRDefault="009B652B">
      <w:pPr>
        <w:pStyle w:val="1"/>
        <w:numPr>
          <w:ilvl w:val="0"/>
          <w:numId w:val="1"/>
        </w:numPr>
        <w:ind w:firstLine="567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зон.</w:t>
      </w:r>
    </w:p>
    <w:p w:rsidR="00E551E2" w:rsidRDefault="00E551E2">
      <w:pPr>
        <w:pStyle w:val="a7"/>
        <w:rPr>
          <w:color w:val="auto"/>
        </w:rPr>
      </w:pPr>
    </w:p>
    <w:p w:rsidR="00E551E2" w:rsidRDefault="009B652B">
      <w:pPr>
        <w:pStyle w:val="a7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Ольховское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Шацкого</w:t>
      </w:r>
      <w:r>
        <w:rPr>
          <w:szCs w:val="28"/>
        </w:rPr>
        <w:t xml:space="preserve"> муниципального района Рязанской области учитывались градостроительные требования, в том числе:</w:t>
      </w:r>
    </w:p>
    <w:p w:rsidR="00E551E2" w:rsidRDefault="009B652B">
      <w:pPr>
        <w:pStyle w:val="a7"/>
        <w:rPr>
          <w:szCs w:val="28"/>
        </w:rPr>
      </w:pPr>
      <w:r>
        <w:t>- рациональные формы расселения населения;</w:t>
      </w:r>
    </w:p>
    <w:p w:rsidR="00E551E2" w:rsidRDefault="009B652B">
      <w:pPr>
        <w:pStyle w:val="a7"/>
        <w:rPr>
          <w:szCs w:val="28"/>
        </w:rPr>
      </w:pPr>
      <w:r>
        <w:t>- оптимальные варианты сочетания в пределах зон градостроительных объектов различного функционального назначения;</w:t>
      </w:r>
    </w:p>
    <w:p w:rsidR="00E551E2" w:rsidRDefault="009B652B">
      <w:pPr>
        <w:pStyle w:val="a7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E551E2" w:rsidRDefault="009B652B">
      <w:pPr>
        <w:pStyle w:val="a7"/>
        <w:rPr>
          <w:szCs w:val="28"/>
        </w:rPr>
      </w:pPr>
      <w:r>
        <w:t>- обеспечение равной доступности территории общественного центра поселения по отношению ко всем функциональным зонам и планировочным частям населенного пункта, локализация центра с учетом исторически сложившегося характера использования территории;</w:t>
      </w:r>
    </w:p>
    <w:p w:rsidR="00E551E2" w:rsidRDefault="009B652B">
      <w:pPr>
        <w:pStyle w:val="a7"/>
        <w:rPr>
          <w:szCs w:val="28"/>
        </w:rPr>
      </w:pPr>
      <w:r>
        <w:lastRenderedPageBreak/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E551E2" w:rsidRDefault="009B652B">
      <w:pPr>
        <w:pStyle w:val="a7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E551E2" w:rsidRDefault="009B652B">
      <w:pPr>
        <w:pStyle w:val="a7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 xml:space="preserve">– 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Ольховское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сельское поселение Шацкого</w:t>
      </w:r>
      <w:r>
        <w:rPr>
          <w:szCs w:val="28"/>
        </w:rPr>
        <w:t xml:space="preserve"> муниципального района Рязанской области относятся зоны, перечисленные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E551E2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t>Условное</w:t>
            </w:r>
          </w:p>
          <w:p w:rsidR="00E551E2" w:rsidRDefault="009B652B">
            <w:pPr>
              <w:pStyle w:val="ae"/>
              <w:widowControl w:val="0"/>
            </w:pPr>
            <w:r>
              <w:t>обозначение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t>Наименование зоны</w:t>
            </w:r>
          </w:p>
        </w:tc>
      </w:tr>
      <w:tr w:rsidR="00E551E2">
        <w:trPr>
          <w:trHeight w:val="476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E551E2">
            <w:pPr>
              <w:widowControl w:val="0"/>
              <w:snapToGrid w:val="0"/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E551E2">
            <w:pPr>
              <w:widowControl w:val="0"/>
              <w:snapToGrid w:val="0"/>
            </w:pPr>
          </w:p>
        </w:tc>
      </w:tr>
      <w:tr w:rsidR="00E551E2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6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68580</wp:posOffset>
                      </wp:positionV>
                      <wp:extent cx="659765" cy="288925"/>
                      <wp:effectExtent l="5715" t="5715" r="4445" b="4445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9880" cy="28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_0" path="m0,0l-2147483645,0l-2147483645,-2147483646l0,-2147483646xe" fillcolor="#ff6450" stroked="t" o:allowincell="f" style="position:absolute;margin-left:32.05pt;margin-top:5.4pt;width:51.9pt;height:22.7pt;mso-wrap-style:none;v-text-anchor:middle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Жилые зоны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9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97155</wp:posOffset>
                      </wp:positionV>
                      <wp:extent cx="665480" cy="276225"/>
                      <wp:effectExtent l="5715" t="5715" r="4445" b="4445"/>
                      <wp:wrapNone/>
                      <wp:docPr id="3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64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5_0" path="m0,0l-2147483645,0l-2147483645,-2147483646l0,-2147483646xe" fillcolor="#895a44" stroked="t" o:allowincell="f" style="position:absolute;margin-left:32.05pt;margin-top:7.65pt;width:52.35pt;height:21.7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Производственная зона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7" behindDoc="0" locked="0" layoutInCell="0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100965</wp:posOffset>
                      </wp:positionV>
                      <wp:extent cx="668020" cy="276225"/>
                      <wp:effectExtent l="5715" t="5715" r="4445" b="4445"/>
                      <wp:wrapNone/>
                      <wp:docPr id="5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16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8_0" path="m0,0l-2147483645,0l-2147483645,-2147483646l0,-2147483646xe" fillcolor="#006a91" stroked="t" o:allowincell="f" style="position:absolute;margin-left:32.3pt;margin-top:7.95pt;width:52.55pt;height:21.7pt;mso-wrap-style:none;v-text-anchor:middle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транспортной инфраструктуры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3" behindDoc="0" locked="0" layoutInCell="0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75565</wp:posOffset>
                      </wp:positionV>
                      <wp:extent cx="676910" cy="276225"/>
                      <wp:effectExtent l="5715" t="5715" r="4445" b="4445"/>
                      <wp:wrapNone/>
                      <wp:docPr id="7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80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0_0" path="m0,0l-2147483645,0l-2147483645,-2147483646l0,-2147483646xe" fillcolor="#ffffb6" stroked="t" o:allowincell="f" style="position:absolute;margin-left:32.05pt;margin-top:5.95pt;width:53.25pt;height:21.7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Зоны сельскохозяйственного использования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5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62940" cy="276225"/>
                      <wp:effectExtent l="5715" t="5715" r="4445" b="4445"/>
                      <wp:wrapNone/>
                      <wp:docPr id="9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20" cy="2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0" path="m0,0l-2147483645,0l-2147483645,-2147483646l0,-2147483646xe" fillcolor="#c0c000" stroked="t" o:allowincell="f" style="position:absolute;margin-left:33.15pt;margin-top:7.1pt;width:52.15pt;height:21.7pt;mso-wrap-style:none;v-text-anchor:middle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Производственная зона сельскохозяйственных предприятий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715" distR="4445" simplePos="0" relativeHeight="13" behindDoc="0" locked="0" layoutInCell="0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74930</wp:posOffset>
                      </wp:positionV>
                      <wp:extent cx="658495" cy="274955"/>
                      <wp:effectExtent l="5715" t="5715" r="4445" b="4445"/>
                      <wp:wrapNone/>
                      <wp:docPr id="11" name="Врезка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8440" cy="27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" path="m0,0l-2147483645,0l-2147483645,-2147483646l0,-2147483646xe" fillcolor="#1c8f69" stroked="t" o:allowincell="f" style="position:absolute;margin-left:34pt;margin-top:5.9pt;width:51.8pt;height:21.6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rPr>
                <w:rStyle w:val="20"/>
                <w:shd w:val="clear" w:color="auto" w:fill="FFFFFF"/>
              </w:rPr>
              <w:t>Зона лесов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715" distB="4445" distL="5080" distR="5080" simplePos="0" relativeHeight="18" behindDoc="0" locked="0" layoutInCell="0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90170</wp:posOffset>
                      </wp:positionV>
                      <wp:extent cx="662940" cy="260985"/>
                      <wp:effectExtent l="5080" t="5715" r="5080" b="4445"/>
                      <wp:wrapNone/>
                      <wp:docPr id="13" name="Врезка11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120" cy="26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1_ 1" path="m0,0l-2147483645,0l-2147483645,-2147483646l0,-2147483646xe" fillcolor="#69b366" stroked="t" o:allowincell="f" style="position:absolute;margin-left:33.15pt;margin-top:7.1pt;width:52.15pt;height:20.5pt;mso-wrap-style:none;v-text-anchor:middle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13740" cy="321310"/>
                      <wp:effectExtent l="0" t="0" r="0" b="0"/>
                      <wp:wrapNone/>
                      <wp:docPr id="1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880" cy="321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E551E2" w:rsidRDefault="00E551E2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13_0" path="m0,0l-2147483645,0l-2147483645,-2147483646l0,-2147483646xe" stroked="f" o:allowincell="f" style="position:absolute;margin-left:32.85pt;margin-top:1.8pt;width:56.15pt;height:25.2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17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кладбищ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15" behindDoc="0" locked="0" layoutInCell="0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67945</wp:posOffset>
                      </wp:positionV>
                      <wp:extent cx="671830" cy="270510"/>
                      <wp:effectExtent l="5080" t="5080" r="5080" b="5080"/>
                      <wp:wrapNone/>
                      <wp:docPr id="18" name="Врезка4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76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1D1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2" path="m0,0l-2147483645,0l-2147483645,-2147483646l0,-2147483646xe" fillcolor="#d1d1ff" stroked="t" o:allowincell="f" style="position:absolute;margin-left:32.5pt;margin-top:5.35pt;width:52.85pt;height:21.25pt;mso-wrap-style:none;v-text-anchor:middle">
                      <v:fill o:detectmouseclick="t" type="solid" color2="#2e2e00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Зона режимных территорий</w:t>
            </w:r>
          </w:p>
        </w:tc>
      </w:tr>
      <w:tr w:rsidR="00E551E2">
        <w:trPr>
          <w:trHeight w:val="624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5080" distB="5080" distL="5080" distR="5080" simplePos="0" relativeHeight="20" behindDoc="0" locked="0" layoutInCell="0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67945</wp:posOffset>
                      </wp:positionV>
                      <wp:extent cx="671830" cy="270510"/>
                      <wp:effectExtent l="5080" t="5080" r="5080" b="5080"/>
                      <wp:wrapNone/>
                      <wp:docPr id="19" name="Врезка4_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760" cy="27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CEDB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id="shape_0" ID="Врезка4_ 1" path="m0,0l-2147483645,0l-2147483645,-2147483646l0,-2147483646xe" fillcolor="#8cedba" stroked="t" o:allowincell="f" style="position:absolute;margin-left:32.5pt;margin-top:5.35pt;width:52.85pt;height:21.25pt;mso-wrap-style:none;v-text-anchor:middle">
                      <v:fill o:detectmouseclick="t" type="solid" color2="#731245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ind w:left="57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Иные зоны</w:t>
            </w:r>
          </w:p>
        </w:tc>
      </w:tr>
    </w:tbl>
    <w:p w:rsidR="00E551E2" w:rsidRDefault="009B652B">
      <w:pPr>
        <w:pStyle w:val="a7"/>
      </w:pPr>
      <w:r>
        <w:t>Границы функциональных зон отображены на карте функциональных зон поселения.</w:t>
      </w:r>
    </w:p>
    <w:p w:rsidR="00E551E2" w:rsidRDefault="00E551E2">
      <w:pPr>
        <w:pStyle w:val="a7"/>
        <w:rPr>
          <w:szCs w:val="28"/>
        </w:rPr>
      </w:pPr>
    </w:p>
    <w:p w:rsidR="00E551E2" w:rsidRDefault="009B652B">
      <w:pPr>
        <w:pStyle w:val="a7"/>
        <w:numPr>
          <w:ilvl w:val="0"/>
          <w:numId w:val="2"/>
        </w:numPr>
        <w:ind w:firstLine="567"/>
      </w:pPr>
      <w:r>
        <w:t>Жилые зоны.</w:t>
      </w:r>
    </w:p>
    <w:p w:rsidR="00E551E2" w:rsidRDefault="009B652B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rFonts w:eastAsia="XO Thames;Times New Roman"/>
          <w:szCs w:val="28"/>
        </w:rPr>
        <w:t xml:space="preserve">Жилые зоны предназначены </w:t>
      </w:r>
      <w:r>
        <w:rPr>
          <w:rFonts w:eastAsia="XO Thames;Times New Roman"/>
          <w:szCs w:val="28"/>
          <w:lang w:eastAsia="ar-SA"/>
        </w:rPr>
        <w:t>для размещения индивидуальных жилых домов с приусадебными земельными участками</w:t>
      </w:r>
      <w:r>
        <w:rPr>
          <w:rFonts w:eastAsia="XO Thames;Times New Roman"/>
          <w:szCs w:val="28"/>
        </w:rPr>
        <w:t xml:space="preserve">, малоэтажных и блокированных жилых домов, объектов </w:t>
      </w:r>
      <w:r>
        <w:rPr>
          <w:rFonts w:eastAsia="XO Thames;Times New Roman"/>
          <w:szCs w:val="28"/>
          <w:lang w:eastAsia="ar-SA"/>
        </w:rPr>
        <w:t>государственного и делового управления,</w:t>
      </w:r>
      <w:r>
        <w:rPr>
          <w:rFonts w:eastAsia="XO Thames;Times New Roman"/>
          <w:szCs w:val="28"/>
        </w:rPr>
        <w:t xml:space="preserve"> </w:t>
      </w:r>
      <w:r>
        <w:rPr>
          <w:rFonts w:eastAsia="XO Thames;Times New Roman"/>
          <w:szCs w:val="28"/>
          <w:lang w:eastAsia="ar-SA"/>
        </w:rPr>
        <w:t>социального, культурного, бытового обслужи</w:t>
      </w:r>
      <w:r>
        <w:rPr>
          <w:rFonts w:eastAsia="XO Thames;Times New Roman"/>
          <w:szCs w:val="28"/>
        </w:rPr>
        <w:t>вания.</w:t>
      </w:r>
    </w:p>
    <w:p w:rsidR="00E551E2" w:rsidRDefault="00E551E2">
      <w:pPr>
        <w:pStyle w:val="a7"/>
        <w:rPr>
          <w:szCs w:val="28"/>
        </w:rPr>
      </w:pPr>
    </w:p>
    <w:p w:rsidR="00FB0976" w:rsidRDefault="00FB0976">
      <w:pPr>
        <w:pStyle w:val="a7"/>
        <w:rPr>
          <w:szCs w:val="28"/>
        </w:rPr>
      </w:pPr>
    </w:p>
    <w:p w:rsidR="00FB0976" w:rsidRDefault="00FB0976">
      <w:pPr>
        <w:pStyle w:val="a7"/>
        <w:rPr>
          <w:szCs w:val="28"/>
        </w:rPr>
      </w:pPr>
    </w:p>
    <w:p w:rsidR="00E551E2" w:rsidRDefault="009B652B">
      <w:pPr>
        <w:pStyle w:val="a7"/>
      </w:pPr>
      <w:r>
        <w:lastRenderedPageBreak/>
        <w:t>Производственная зона.</w:t>
      </w:r>
    </w:p>
    <w:p w:rsidR="00E551E2" w:rsidRDefault="009B652B">
      <w:pPr>
        <w:pStyle w:val="a7"/>
      </w:pPr>
      <w:r>
        <w:rPr>
          <w:bCs/>
          <w:szCs w:val="28"/>
        </w:rPr>
        <w:t>Производственная зона</w:t>
      </w:r>
      <w:r>
        <w:rPr>
          <w:szCs w:val="28"/>
        </w:rPr>
        <w:t xml:space="preserve">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E551E2" w:rsidRDefault="00E551E2">
      <w:pPr>
        <w:pStyle w:val="a7"/>
      </w:pPr>
    </w:p>
    <w:p w:rsidR="00E551E2" w:rsidRDefault="009B652B">
      <w:pPr>
        <w:pStyle w:val="a7"/>
      </w:pPr>
      <w:r>
        <w:t>Зона транспортной инфраструктуры.</w:t>
      </w:r>
    </w:p>
    <w:p w:rsidR="00E551E2" w:rsidRDefault="009B652B">
      <w:pPr>
        <w:pStyle w:val="a7"/>
        <w:numPr>
          <w:ilvl w:val="0"/>
          <w:numId w:val="2"/>
        </w:numPr>
        <w:ind w:firstLine="567"/>
      </w:pPr>
      <w:r>
        <w:t>Зона транспортной инфраструктуры предназначена для размещения объектов автомобильного транспорта, дорожного сервиса, улично-дорожной сети.</w:t>
      </w:r>
    </w:p>
    <w:p w:rsidR="00E551E2" w:rsidRDefault="00E551E2">
      <w:pPr>
        <w:pStyle w:val="a7"/>
        <w:numPr>
          <w:ilvl w:val="0"/>
          <w:numId w:val="2"/>
        </w:numPr>
        <w:ind w:firstLine="567"/>
        <w:rPr>
          <w:szCs w:val="28"/>
        </w:rPr>
      </w:pPr>
    </w:p>
    <w:p w:rsidR="00E551E2" w:rsidRDefault="009B652B">
      <w:pPr>
        <w:pStyle w:val="a7"/>
      </w:pPr>
      <w:r>
        <w:t>Зоны сельскохозяйственного использования.</w:t>
      </w:r>
    </w:p>
    <w:p w:rsidR="00E551E2" w:rsidRDefault="009B652B">
      <w:pPr>
        <w:pStyle w:val="a7"/>
        <w:numPr>
          <w:ilvl w:val="0"/>
          <w:numId w:val="2"/>
        </w:numPr>
        <w:ind w:firstLine="567"/>
      </w:pPr>
      <w: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E551E2" w:rsidRDefault="00E551E2">
      <w:pPr>
        <w:pStyle w:val="a7"/>
        <w:rPr>
          <w:szCs w:val="28"/>
        </w:rPr>
      </w:pPr>
    </w:p>
    <w:p w:rsidR="00E551E2" w:rsidRDefault="009B652B">
      <w:pPr>
        <w:pStyle w:val="a7"/>
      </w:pPr>
      <w:r>
        <w:t>Производственная зона сельскохозяйственных предприятий.</w:t>
      </w:r>
    </w:p>
    <w:p w:rsidR="00E551E2" w:rsidRDefault="009B652B">
      <w:pPr>
        <w:pStyle w:val="a7"/>
        <w:numPr>
          <w:ilvl w:val="0"/>
          <w:numId w:val="2"/>
        </w:numPr>
        <w:ind w:firstLine="567"/>
        <w:rPr>
          <w:szCs w:val="28"/>
        </w:rPr>
      </w:pPr>
      <w:r>
        <w:t>Производственная зона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E551E2" w:rsidRDefault="00E551E2">
      <w:pPr>
        <w:pStyle w:val="a7"/>
      </w:pPr>
    </w:p>
    <w:p w:rsidR="00E551E2" w:rsidRDefault="009B652B">
      <w:pPr>
        <w:pStyle w:val="a7"/>
      </w:pPr>
      <w:r>
        <w:t>Зона лесов.</w:t>
      </w:r>
    </w:p>
    <w:p w:rsidR="00E551E2" w:rsidRDefault="009B652B">
      <w:pPr>
        <w:pStyle w:val="a7"/>
      </w:pPr>
      <w:r>
        <w:rPr>
          <w:rStyle w:val="20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E551E2" w:rsidRDefault="00E551E2">
      <w:pPr>
        <w:pStyle w:val="a7"/>
        <w:rPr>
          <w:szCs w:val="28"/>
        </w:rPr>
      </w:pPr>
    </w:p>
    <w:p w:rsidR="00E551E2" w:rsidRDefault="009B652B">
      <w:pPr>
        <w:pStyle w:val="a7"/>
        <w:rPr>
          <w:szCs w:val="28"/>
        </w:rPr>
      </w:pPr>
      <w:r>
        <w:rPr>
          <w:szCs w:val="28"/>
        </w:rPr>
        <w:t>Зона озелененных территорий специального назначения.</w:t>
      </w:r>
    </w:p>
    <w:p w:rsidR="00E551E2" w:rsidRDefault="009B652B">
      <w:pPr>
        <w:pStyle w:val="a7"/>
        <w:rPr>
          <w:szCs w:val="28"/>
        </w:rPr>
      </w:pPr>
      <w:proofErr w:type="gramStart"/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</w:t>
      </w:r>
      <w:r>
        <w:rPr>
          <w:color w:val="auto"/>
          <w:szCs w:val="28"/>
          <w:lang w:eastAsia="ru-RU"/>
        </w:rPr>
        <w:t xml:space="preserve"> предназначена для формирования озелененных участков, выполняющих защитные и санитарно-гигиенические функций.</w:t>
      </w:r>
      <w:proofErr w:type="gramEnd"/>
    </w:p>
    <w:p w:rsidR="00E551E2" w:rsidRDefault="00E551E2">
      <w:pPr>
        <w:pStyle w:val="a7"/>
      </w:pPr>
    </w:p>
    <w:p w:rsidR="00E551E2" w:rsidRDefault="009B652B">
      <w:pPr>
        <w:pStyle w:val="a7"/>
      </w:pPr>
      <w:r>
        <w:t>Зона кладбищ.</w:t>
      </w:r>
    </w:p>
    <w:p w:rsidR="00E551E2" w:rsidRDefault="009B652B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E551E2" w:rsidRDefault="00E551E2">
      <w:pPr>
        <w:pStyle w:val="a7"/>
        <w:rPr>
          <w:szCs w:val="28"/>
        </w:rPr>
      </w:pPr>
    </w:p>
    <w:p w:rsidR="00E551E2" w:rsidRDefault="009B652B">
      <w:pPr>
        <w:pStyle w:val="a7"/>
        <w:rPr>
          <w:color w:val="auto"/>
        </w:rPr>
      </w:pPr>
      <w:r>
        <w:rPr>
          <w:color w:val="auto"/>
        </w:rPr>
        <w:t>Зона режимных территорий.</w:t>
      </w:r>
    </w:p>
    <w:p w:rsidR="00E551E2" w:rsidRDefault="009B652B">
      <w:pPr>
        <w:pStyle w:val="a7"/>
        <w:rPr>
          <w:color w:val="auto"/>
        </w:rPr>
      </w:pPr>
      <w:r>
        <w:rPr>
          <w:spacing w:val="2"/>
          <w:kern w:val="0"/>
          <w:szCs w:val="20"/>
          <w:shd w:val="clear" w:color="auto" w:fill="FFFFFF"/>
        </w:rPr>
        <w:t>Зона режимных территорий предназначена для размещения военных объектов.</w:t>
      </w:r>
    </w:p>
    <w:p w:rsidR="00E551E2" w:rsidRDefault="00E551E2">
      <w:pPr>
        <w:pStyle w:val="a7"/>
        <w:rPr>
          <w:color w:val="auto"/>
        </w:rPr>
      </w:pPr>
    </w:p>
    <w:p w:rsidR="00E551E2" w:rsidRDefault="009B652B">
      <w:pPr>
        <w:pStyle w:val="a7"/>
        <w:rPr>
          <w:color w:val="auto"/>
        </w:rPr>
      </w:pPr>
      <w:r>
        <w:rPr>
          <w:spacing w:val="2"/>
          <w:kern w:val="0"/>
          <w:szCs w:val="20"/>
          <w:shd w:val="clear" w:color="auto" w:fill="FFFFFF"/>
        </w:rPr>
        <w:t>Иные зоны.</w:t>
      </w:r>
    </w:p>
    <w:p w:rsidR="00E551E2" w:rsidRDefault="009B652B">
      <w:pPr>
        <w:pStyle w:val="a7"/>
        <w:rPr>
          <w:color w:val="auto"/>
        </w:rPr>
      </w:pPr>
      <w:r>
        <w:rPr>
          <w:spacing w:val="2"/>
          <w:szCs w:val="28"/>
          <w:highlight w:val="white"/>
        </w:rPr>
        <w:t>Иные зоны выделены для обозначения территорий, занятых землями запаса. С</w:t>
      </w:r>
      <w:r>
        <w:rPr>
          <w:spacing w:val="2"/>
          <w:szCs w:val="28"/>
          <w:highlight w:val="white"/>
          <w:shd w:val="clear" w:color="auto" w:fill="FFFFFF"/>
        </w:rPr>
        <w:t xml:space="preserve">огласно статье 103 Земельного кодекса Российской Федерации, к землям запаса </w:t>
      </w:r>
      <w:r>
        <w:rPr>
          <w:spacing w:val="2"/>
          <w:szCs w:val="28"/>
          <w:highlight w:val="white"/>
          <w:shd w:val="clear" w:color="auto" w:fill="FFFFFF"/>
        </w:rPr>
        <w:lastRenderedPageBreak/>
        <w:t>относятся земли, находящиеся в государственной или муниципальной собственности и не предоставленные гражданам или юридическим лицам, за исключением земель фонда перераспределения земель, формируемого в соответствии со статьей 80 Земельного кодекса Российской Федерации.</w:t>
      </w:r>
    </w:p>
    <w:p w:rsidR="00E551E2" w:rsidRDefault="00E551E2">
      <w:pPr>
        <w:widowControl w:val="0"/>
        <w:spacing w:before="0" w:after="0"/>
        <w:ind w:firstLine="567"/>
        <w:contextualSpacing/>
        <w:rPr>
          <w:sz w:val="28"/>
          <w:szCs w:val="28"/>
        </w:rPr>
      </w:pPr>
    </w:p>
    <w:p w:rsidR="00E551E2" w:rsidRDefault="009B652B">
      <w:pPr>
        <w:pStyle w:val="a7"/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spellStart"/>
      <w:r>
        <w:rPr>
          <w:szCs w:val="28"/>
          <w:lang w:eastAsia="ar-SA"/>
        </w:rPr>
        <w:t>Ольховское</w:t>
      </w:r>
      <w:proofErr w:type="spellEnd"/>
      <w:r>
        <w:rPr>
          <w:szCs w:val="28"/>
          <w:lang w:eastAsia="ar-SA"/>
        </w:rPr>
        <w:t xml:space="preserve"> сельское</w:t>
      </w:r>
      <w:r>
        <w:rPr>
          <w:szCs w:val="28"/>
        </w:rPr>
        <w:t xml:space="preserve"> поселение Шацкого муниципального района Рязанской области</w:t>
      </w:r>
      <w:r>
        <w:rPr>
          <w:szCs w:val="28"/>
          <w:lang w:eastAsia="ar-SA"/>
        </w:rPr>
        <w:t xml:space="preserve"> выделены следующие функциональные зоны, для которых определены площади соответствующего функционального назначения</w:t>
      </w:r>
      <w:r>
        <w:rPr>
          <w:szCs w:val="28"/>
        </w:rPr>
        <w:t>, перечисленные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061"/>
        <w:gridCol w:w="2010"/>
      </w:tblGrid>
      <w:tr w:rsidR="00E551E2">
        <w:trPr>
          <w:trHeight w:val="497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  <w:rPr>
                <w:lang w:val="en-US"/>
              </w:rPr>
            </w:pPr>
            <w:r>
              <w:t>№</w:t>
            </w:r>
          </w:p>
          <w:p w:rsidR="00E551E2" w:rsidRDefault="009B652B">
            <w:pPr>
              <w:pStyle w:val="ae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t>Наименование зоны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9B652B">
            <w:pPr>
              <w:pStyle w:val="ae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E551E2">
        <w:trPr>
          <w:trHeight w:val="476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E551E2">
            <w:pPr>
              <w:widowControl w:val="0"/>
              <w:snapToGrid w:val="0"/>
              <w:ind w:hanging="10"/>
              <w:rPr>
                <w:bCs/>
              </w:rPr>
            </w:pPr>
          </w:p>
        </w:tc>
        <w:tc>
          <w:tcPr>
            <w:tcW w:w="7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E551E2">
            <w:pPr>
              <w:widowControl w:val="0"/>
              <w:snapToGrid w:val="0"/>
              <w:spacing w:before="0" w:after="0"/>
              <w:contextualSpacing/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E551E2" w:rsidRDefault="00E551E2">
            <w:pPr>
              <w:widowControl w:val="0"/>
              <w:snapToGrid w:val="0"/>
              <w:rPr>
                <w:bCs/>
              </w:rPr>
            </w:pP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1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Жилые зоны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1870,75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2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7,101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3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123,61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4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сельскохозяйственного использования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32395,66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5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186,85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6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5217,98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7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3,76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8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10,69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9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Зона режимных территорий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22,07</w:t>
            </w:r>
          </w:p>
        </w:tc>
      </w:tr>
      <w:tr w:rsidR="00E551E2">
        <w:trPr>
          <w:trHeight w:hRule="exact" w:val="369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</w:pPr>
            <w:r>
              <w:t>10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ind w:left="57"/>
              <w:jc w:val="left"/>
            </w:pPr>
            <w:r>
              <w:t>Иные зоны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E551E2" w:rsidRDefault="009B652B">
            <w:pPr>
              <w:pStyle w:val="ae"/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1535,83</w:t>
            </w:r>
          </w:p>
        </w:tc>
      </w:tr>
    </w:tbl>
    <w:p w:rsidR="00E551E2" w:rsidRDefault="00E551E2">
      <w:pPr>
        <w:pStyle w:val="a7"/>
        <w:suppressLineNumbers/>
        <w:contextualSpacing/>
        <w:rPr>
          <w:szCs w:val="28"/>
        </w:rPr>
      </w:pPr>
    </w:p>
    <w:p w:rsidR="00E551E2" w:rsidRDefault="009B652B">
      <w:pPr>
        <w:pStyle w:val="1"/>
        <w:numPr>
          <w:ilvl w:val="0"/>
          <w:numId w:val="1"/>
        </w:numPr>
        <w:ind w:firstLine="567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2.2.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района, за исключением линейных.</w:t>
      </w:r>
      <w:proofErr w:type="gramEnd"/>
    </w:p>
    <w:p w:rsidR="00E551E2" w:rsidRDefault="00E551E2">
      <w:pPr>
        <w:pStyle w:val="a7"/>
        <w:rPr>
          <w:color w:val="auto"/>
          <w:szCs w:val="28"/>
          <w:shd w:val="clear" w:color="auto" w:fill="FF0000"/>
        </w:rPr>
      </w:pPr>
    </w:p>
    <w:p w:rsidR="00E551E2" w:rsidRDefault="009B652B">
      <w:pPr>
        <w:pStyle w:val="a7"/>
        <w:suppressLineNumbers/>
        <w:contextualSpacing/>
      </w:pPr>
      <w:r>
        <w:rPr>
          <w:rStyle w:val="-"/>
          <w:color w:val="000000"/>
          <w:szCs w:val="28"/>
          <w:u w:val="none"/>
          <w:shd w:val="clear" w:color="auto" w:fill="FFFFFF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shd w:val="clear" w:color="auto" w:fill="FFFFFF"/>
          <w:lang w:eastAsia="ar-SA"/>
        </w:rPr>
        <w:t>–</w:t>
      </w:r>
      <w:r>
        <w:rPr>
          <w:rStyle w:val="-"/>
          <w:color w:val="000000"/>
          <w:szCs w:val="28"/>
          <w:u w:val="none"/>
          <w:shd w:val="clear" w:color="auto" w:fill="FFFFFF"/>
        </w:rPr>
        <w:t xml:space="preserve"> </w:t>
      </w:r>
      <w:proofErr w:type="spell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ar-SA"/>
        </w:rPr>
        <w:t>Ольховское</w:t>
      </w:r>
      <w:proofErr w:type="spell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shd w:val="clear" w:color="auto" w:fill="FFFFFF"/>
          <w:lang w:eastAsia="ar-SA"/>
        </w:rPr>
        <w:t xml:space="preserve"> сельское поселение Шацкого</w:t>
      </w:r>
      <w:r>
        <w:rPr>
          <w:rStyle w:val="-"/>
          <w:color w:val="000000"/>
          <w:szCs w:val="28"/>
          <w:u w:val="none"/>
          <w:shd w:val="clear" w:color="auto" w:fill="FFFFFF"/>
        </w:rPr>
        <w:t xml:space="preserve"> муниципального района Рязанской области утвержденными документами территориального планирования не планируется размещение объектов федерального значения, объектов регионального значения, объектов местного значения муниципального района, за исключением линейных.</w:t>
      </w:r>
    </w:p>
    <w:sectPr w:rsidR="00E551E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10" w:rsidRDefault="00947F10">
      <w:pPr>
        <w:spacing w:before="0" w:after="0"/>
      </w:pPr>
      <w:r>
        <w:separator/>
      </w:r>
    </w:p>
  </w:endnote>
  <w:endnote w:type="continuationSeparator" w:id="0">
    <w:p w:rsidR="00947F10" w:rsidRDefault="00947F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E2" w:rsidRDefault="00E551E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E2" w:rsidRDefault="00E551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10" w:rsidRDefault="00947F10">
      <w:pPr>
        <w:spacing w:before="0" w:after="0"/>
      </w:pPr>
      <w:r>
        <w:separator/>
      </w:r>
    </w:p>
  </w:footnote>
  <w:footnote w:type="continuationSeparator" w:id="0">
    <w:p w:rsidR="00947F10" w:rsidRDefault="00947F1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E2" w:rsidRDefault="009B652B">
    <w:pPr>
      <w:rPr>
        <w:sz w:val="28"/>
        <w:szCs w:val="28"/>
      </w:rPr>
    </w:pPr>
    <w:r>
      <w:fldChar w:fldCharType="begin"/>
    </w:r>
    <w:r>
      <w:instrText xml:space="preserve"> PAGE </w:instrText>
    </w:r>
    <w:r>
      <w:fldChar w:fldCharType="separate"/>
    </w:r>
    <w:r w:rsidR="00D74D78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1E2" w:rsidRDefault="00E551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7C98"/>
    <w:multiLevelType w:val="multilevel"/>
    <w:tmpl w:val="3094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DC0DEA"/>
    <w:multiLevelType w:val="multilevel"/>
    <w:tmpl w:val="1662E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2008E6"/>
    <w:multiLevelType w:val="multilevel"/>
    <w:tmpl w:val="1FCC3B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1E2"/>
    <w:rsid w:val="00947F10"/>
    <w:rsid w:val="009B652B"/>
    <w:rsid w:val="00D74D78"/>
    <w:rsid w:val="00E551E2"/>
    <w:rsid w:val="00F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tabs>
        <w:tab w:val="num" w:pos="0"/>
      </w:tabs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tabs>
        <w:tab w:val="num" w:pos="0"/>
      </w:tabs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tabs>
        <w:tab w:val="num" w:pos="0"/>
      </w:tabs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0"/>
      </w:tabs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tabs>
        <w:tab w:val="num" w:pos="0"/>
      </w:tabs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tabs>
        <w:tab w:val="num" w:pos="0"/>
      </w:tabs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  <w:textAlignment w:val="auto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1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2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3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1134</Words>
  <Characters>6469</Characters>
  <Application>Microsoft Office Word</Application>
  <DocSecurity>0</DocSecurity>
  <Lines>53</Lines>
  <Paragraphs>15</Paragraphs>
  <ScaleCrop>false</ScaleCrop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MSi1</dc:creator>
  <dc:description/>
  <cp:lastModifiedBy>LENOVO</cp:lastModifiedBy>
  <cp:revision>152</cp:revision>
  <cp:lastPrinted>2022-11-03T14:44:00Z</cp:lastPrinted>
  <dcterms:created xsi:type="dcterms:W3CDTF">2022-03-01T17:19:00Z</dcterms:created>
  <dcterms:modified xsi:type="dcterms:W3CDTF">2023-01-19T09:51:00Z</dcterms:modified>
  <dc:language>ru-RU</dc:language>
</cp:coreProperties>
</file>