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3C8D" w:rsidRDefault="00212F7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C8D" w:rsidRDefault="00212F7E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63C8D" w:rsidRDefault="00212F7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63C8D" w:rsidRDefault="00863C8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63C8D" w:rsidRDefault="00863C8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63C8D" w:rsidRDefault="00212F7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63C8D" w:rsidRDefault="00863C8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63C8D" w:rsidRDefault="00863C8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63C8D" w:rsidRDefault="008E4EFE">
      <w:pPr>
        <w:tabs>
          <w:tab w:val="left" w:pos="709"/>
        </w:tabs>
      </w:pPr>
      <w:r>
        <w:rPr>
          <w:sz w:val="28"/>
          <w:szCs w:val="28"/>
        </w:rPr>
        <w:t xml:space="preserve">    27 января </w:t>
      </w:r>
      <w:r w:rsidR="00212F7E">
        <w:rPr>
          <w:sz w:val="28"/>
          <w:szCs w:val="28"/>
        </w:rPr>
        <w:t xml:space="preserve">2023 г.                                                    </w:t>
      </w:r>
      <w:r>
        <w:rPr>
          <w:sz w:val="28"/>
          <w:szCs w:val="28"/>
        </w:rPr>
        <w:t xml:space="preserve">        </w:t>
      </w:r>
      <w:r w:rsidR="00F17C9F">
        <w:rPr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 xml:space="preserve"> № 42-п</w:t>
      </w:r>
      <w:r w:rsidR="00212F7E">
        <w:rPr>
          <w:sz w:val="28"/>
          <w:szCs w:val="28"/>
          <w:u w:val="single"/>
        </w:rPr>
        <w:t xml:space="preserve">            </w:t>
      </w:r>
    </w:p>
    <w:p w:rsidR="00863C8D" w:rsidRDefault="00863C8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63C8D" w:rsidRDefault="00863C8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63C8D" w:rsidRDefault="00212F7E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62:05:0020157:682 по адресу: Рязанская область, муниципальный район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, городское поселение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Тумское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, рабочий поселок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Тума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>, площадь Пожарная, земельный участок 9/3</w:t>
      </w:r>
    </w:p>
    <w:p w:rsidR="00863C8D" w:rsidRDefault="00863C8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3C8D" w:rsidRDefault="00212F7E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  <w:highlight w:val="none"/>
        </w:rPr>
        <w:t>62:05:0020157:682</w:t>
      </w:r>
      <w:r>
        <w:rPr>
          <w:rStyle w:val="12"/>
          <w:color w:val="000000"/>
          <w:spacing w:val="0"/>
          <w:sz w:val="28"/>
          <w:szCs w:val="28"/>
          <w:highlight w:val="none"/>
        </w:rPr>
        <w:br/>
        <w:t xml:space="preserve">по адресу: Рязанская область, муниципальный район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, </w:t>
      </w:r>
      <w:proofErr w:type="gramStart"/>
      <w:r>
        <w:rPr>
          <w:rStyle w:val="12"/>
          <w:color w:val="000000"/>
          <w:spacing w:val="0"/>
          <w:sz w:val="28"/>
          <w:szCs w:val="28"/>
          <w:highlight w:val="none"/>
        </w:rPr>
        <w:t>городское</w:t>
      </w:r>
      <w:proofErr w:type="gram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</w:t>
      </w:r>
      <w:proofErr w:type="gramStart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поселение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Тумское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, рабочий поселок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Тума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>, площадь Пожарная, земельный участок 9/3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17.01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06.08.2008 № 153 «Об утверждении Положения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863C8D" w:rsidRDefault="00212F7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62:05:0020157:682 по адресу: Рязанская область, муниципальный район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, городское поселение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Тумское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, рабочий поселок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Тума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>, площадь Пожарная, земельный участок 9/3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63C8D" w:rsidRDefault="00212F7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 обеспечить:</w:t>
      </w:r>
    </w:p>
    <w:p w:rsidR="00863C8D" w:rsidRDefault="00212F7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опубликование настоящего постановления в сетевом издании «Рязанские ведомости» (www.rv-ryazan.ru) и на официальном интернет-портале правовой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 в течение двух дней со дня его издания;</w:t>
      </w:r>
      <w:proofErr w:type="gramEnd"/>
    </w:p>
    <w:p w:rsidR="00863C8D" w:rsidRDefault="00212F7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государственную регистрацию настоящего постановления в правовом департаменте аппарата Губернатора и Правительства Рязанской области.</w:t>
      </w:r>
    </w:p>
    <w:p w:rsidR="00863C8D" w:rsidRDefault="00212F7E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863C8D" w:rsidRDefault="00212F7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863C8D" w:rsidRDefault="00212F7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63C8D" w:rsidRDefault="00212F7E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863C8D" w:rsidRDefault="00863C8D">
      <w:pPr>
        <w:pStyle w:val="ConsPlusNormal"/>
        <w:ind w:firstLine="0"/>
        <w:jc w:val="both"/>
      </w:pPr>
    </w:p>
    <w:p w:rsidR="00863C8D" w:rsidRDefault="00863C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C8D" w:rsidRDefault="00863C8D">
      <w:pPr>
        <w:tabs>
          <w:tab w:val="left" w:pos="709"/>
        </w:tabs>
        <w:jc w:val="both"/>
        <w:rPr>
          <w:sz w:val="28"/>
          <w:szCs w:val="28"/>
        </w:rPr>
      </w:pPr>
    </w:p>
    <w:p w:rsidR="00863C8D" w:rsidRDefault="00212F7E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863C8D" w:rsidRDefault="00863C8D">
      <w:pPr>
        <w:tabs>
          <w:tab w:val="left" w:pos="709"/>
        </w:tabs>
        <w:rPr>
          <w:sz w:val="28"/>
          <w:szCs w:val="28"/>
        </w:rPr>
      </w:pPr>
    </w:p>
    <w:p w:rsidR="00863C8D" w:rsidRDefault="00212F7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860" cy="1854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7pt;height:14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860" cy="1854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63C8D" w:rsidRDefault="00863C8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7pt;height:14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63C8D" w:rsidRDefault="00212F7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63C8D" w:rsidRDefault="00863C8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pt;height:14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63C8D" w:rsidRDefault="00863C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63C8D" w:rsidRDefault="00863C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63C8D" w:rsidRDefault="00863C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63C8D" w:rsidRDefault="00863C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63C8D" w:rsidRDefault="00863C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63C8D" w:rsidRDefault="00212F7E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</w:t>
      </w:r>
    </w:p>
    <w:sectPr w:rsidR="00863C8D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72" w:rsidRDefault="00696572">
      <w:r>
        <w:separator/>
      </w:r>
    </w:p>
  </w:endnote>
  <w:endnote w:type="continuationSeparator" w:id="0">
    <w:p w:rsidR="00696572" w:rsidRDefault="0069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72" w:rsidRDefault="00696572">
      <w:r>
        <w:separator/>
      </w:r>
    </w:p>
  </w:footnote>
  <w:footnote w:type="continuationSeparator" w:id="0">
    <w:p w:rsidR="00696572" w:rsidRDefault="0069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8D" w:rsidRDefault="00863C8D">
    <w:pPr>
      <w:pStyle w:val="af1"/>
      <w:jc w:val="center"/>
    </w:pPr>
  </w:p>
  <w:p w:rsidR="00863C8D" w:rsidRDefault="00212F7E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8D" w:rsidRDefault="00863C8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62BE"/>
    <w:multiLevelType w:val="multilevel"/>
    <w:tmpl w:val="CE6484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08486E"/>
    <w:multiLevelType w:val="multilevel"/>
    <w:tmpl w:val="C69CD2F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C8D"/>
    <w:rsid w:val="00212F7E"/>
    <w:rsid w:val="00696572"/>
    <w:rsid w:val="00863C8D"/>
    <w:rsid w:val="008E4EFE"/>
    <w:rsid w:val="00F1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2023-01-27T10:39:00Z</dcterms:created>
  <dcterms:modified xsi:type="dcterms:W3CDTF">2023-01-27T10:42:00Z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2023-01-25T09:38:59Z</cp:lastPrinted>
  <dcterms:modified xsi:type="dcterms:W3CDTF">2023-01-25T09:39:19Z</dcterms:modified>
  <cp:revision>157</cp:revision>
  <dc:subject/>
  <dc:title>ГЛАВА АДМИНИСТРАЦИИ РЯЗАНСКОЙ ОБЛАСТИ</dc:title>
</cp:coreProperties>
</file>