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114" w:rsidRDefault="0076614F">
      <w:pPr>
        <w:ind w:left="5669" w:firstLine="0"/>
        <w:rPr>
          <w:szCs w:val="24"/>
        </w:rPr>
      </w:pPr>
      <w:r>
        <w:t>Утверждены</w:t>
      </w:r>
    </w:p>
    <w:p w:rsidR="001A3114" w:rsidRDefault="0076614F">
      <w:pPr>
        <w:ind w:left="5670" w:firstLine="0"/>
        <w:jc w:val="left"/>
        <w:rPr>
          <w:szCs w:val="24"/>
        </w:rPr>
      </w:pPr>
      <w:r>
        <w:rPr>
          <w:szCs w:val="24"/>
        </w:rPr>
        <w:t>постановлением главного управления</w:t>
      </w:r>
    </w:p>
    <w:p w:rsidR="001A3114" w:rsidRDefault="0076614F">
      <w:pPr>
        <w:ind w:left="5670" w:firstLine="0"/>
        <w:jc w:val="left"/>
        <w:rPr>
          <w:szCs w:val="24"/>
        </w:rPr>
      </w:pPr>
      <w:r>
        <w:rPr>
          <w:szCs w:val="24"/>
        </w:rPr>
        <w:t>архитектуры и градостроительства</w:t>
      </w:r>
    </w:p>
    <w:p w:rsidR="001A3114" w:rsidRDefault="0076614F">
      <w:pPr>
        <w:ind w:left="5670" w:firstLine="0"/>
        <w:jc w:val="left"/>
        <w:rPr>
          <w:szCs w:val="24"/>
        </w:rPr>
      </w:pPr>
      <w:r>
        <w:rPr>
          <w:szCs w:val="24"/>
        </w:rPr>
        <w:t>Рязанской области</w:t>
      </w:r>
    </w:p>
    <w:p w:rsidR="001A3114" w:rsidRDefault="009E34D7">
      <w:pPr>
        <w:ind w:left="5670" w:firstLine="0"/>
        <w:jc w:val="left"/>
        <w:rPr>
          <w:szCs w:val="24"/>
        </w:rPr>
      </w:pPr>
      <w:r>
        <w:rPr>
          <w:szCs w:val="24"/>
        </w:rPr>
        <w:t>от 02 марта 2023 г.</w:t>
      </w:r>
      <w:r w:rsidR="0076614F">
        <w:rPr>
          <w:szCs w:val="24"/>
        </w:rPr>
        <w:t xml:space="preserve"> №</w:t>
      </w:r>
      <w:r>
        <w:rPr>
          <w:szCs w:val="24"/>
        </w:rPr>
        <w:t xml:space="preserve"> 106-п</w:t>
      </w:r>
      <w:bookmarkStart w:id="0" w:name="_GoBack"/>
      <w:bookmarkEnd w:id="0"/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1A3114">
      <w:pPr>
        <w:pStyle w:val="af6"/>
        <w:ind w:firstLine="0"/>
        <w:jc w:val="center"/>
        <w:rPr>
          <w:sz w:val="32"/>
          <w:szCs w:val="32"/>
        </w:rPr>
      </w:pPr>
    </w:p>
    <w:p w:rsidR="001A3114" w:rsidRDefault="0076614F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1A3114" w:rsidRDefault="0076614F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– Ленинское сельское поселение</w:t>
      </w:r>
    </w:p>
    <w:p w:rsidR="001A3114" w:rsidRDefault="0076614F">
      <w:pPr>
        <w:pStyle w:val="af6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Старожиловского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1A3114">
      <w:pPr>
        <w:pStyle w:val="af6"/>
        <w:rPr>
          <w:rFonts w:cs="Times New Roman"/>
          <w:sz w:val="32"/>
          <w:szCs w:val="32"/>
        </w:rPr>
      </w:pPr>
    </w:p>
    <w:p w:rsidR="001A3114" w:rsidRDefault="0076614F">
      <w:pPr>
        <w:pStyle w:val="af6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-646746210"/>
        <w:docPartObj>
          <w:docPartGallery w:val="Table of Contents"/>
          <w:docPartUnique/>
        </w:docPartObj>
      </w:sdtPr>
      <w:sdtEndPr/>
      <w:sdtContent>
        <w:p w:rsidR="001A3114" w:rsidRDefault="0076614F">
          <w:pPr>
            <w:pStyle w:val="16"/>
            <w:tabs>
              <w:tab w:val="right" w:leader="dot" w:pos="9921"/>
            </w:tabs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2">
            <w:r w:rsidR="0076614F">
              <w:t>Статья 1. Основные понятия, используемые в правилах землепользования и застройки</w:t>
            </w:r>
            <w:r w:rsidR="0076614F">
              <w:tab/>
              <w:t>4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3">
            <w:r w:rsidR="0076614F">
              <w:t>Статья 2. Положение о регулировании землепользования и застройки</w:t>
            </w:r>
            <w:r w:rsidR="0076614F">
              <w:tab/>
              <w:t>4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4">
            <w:r w:rsidR="0076614F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76614F">
              <w:tab/>
              <w:t>4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5">
            <w:r w:rsidR="0076614F">
              <w:t>Статья 4. Положение о подготовке документации по планировке территории</w:t>
            </w:r>
            <w:r w:rsidR="0076614F">
              <w:tab/>
              <w:t>6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6">
            <w:r w:rsidR="0076614F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76614F">
              <w:tab/>
              <w:t>6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7">
            <w:r w:rsidR="0076614F">
              <w:t>Статья 6. Положение о внесении изменений в правила землепользования и застройки</w:t>
            </w:r>
            <w:r w:rsidR="0076614F">
              <w:tab/>
              <w:t>7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8">
            <w:r w:rsidR="0076614F">
              <w:t>Статья 7. Градостроительные планы земельных участков</w:t>
            </w:r>
            <w:r w:rsidR="0076614F">
              <w:tab/>
              <w:t>8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79">
            <w:r w:rsidR="0076614F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76614F">
              <w:tab/>
              <w:t>9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0">
            <w:r w:rsidR="0076614F">
              <w:t>Раздел 2. Градостроительные регламенты</w:t>
            </w:r>
            <w:r w:rsidR="0076614F">
              <w:tab/>
              <w:t>9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1">
            <w:r w:rsidR="0076614F">
              <w:t>Статья 9. Общие требования предъявляемые к установлению градостроительных регламентов</w:t>
            </w:r>
            <w:r w:rsidR="0076614F">
              <w:tab/>
              <w:t>9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2">
            <w:r w:rsidR="0076614F">
              <w:t>Статья 10. Перечень территориальных зон, выделенных на карте градостроительного зонирования</w:t>
            </w:r>
            <w:r w:rsidR="0076614F">
              <w:tab/>
              <w:t>10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3">
            <w:r w:rsidR="0076614F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76614F">
              <w:tab/>
              <w:t>11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4">
            <w:r w:rsidR="0076614F">
              <w:t>Статья 11.1. Жилые зоны (1)</w:t>
            </w:r>
            <w:r w:rsidR="0076614F">
              <w:tab/>
              <w:t>12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841">
            <w:r w:rsidR="0076614F">
              <w:t>Статья 11.2. Жилые зоны. Подзона блокированной жилой застройки (1.1)</w:t>
            </w:r>
            <w:r w:rsidR="0076614F">
              <w:tab/>
              <w:t>14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1">
            <w:r w:rsidR="0076614F">
              <w:t>Статья 11.3. Зоны сельскохозяйственного использования (4.2)</w:t>
            </w:r>
            <w:r w:rsidR="0076614F">
              <w:tab/>
              <w:t>16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2">
            <w:r w:rsidR="0076614F">
              <w:t>Статья 11.4. Производственная зона сельскохозяйственных предприятий (4.4)</w:t>
            </w:r>
            <w:r w:rsidR="0076614F">
              <w:tab/>
              <w:t>17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3">
            <w:r w:rsidR="0076614F">
              <w:t>Статья 11.5. Зона кладбищ (6.1)</w:t>
            </w:r>
            <w:r w:rsidR="0076614F">
              <w:tab/>
              <w:t>19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6">
            <w:r w:rsidR="0076614F">
              <w:t>Статья 12. Земли, для которых градостроительные регламенты не устанавливаются</w:t>
            </w:r>
            <w:r w:rsidR="0076614F">
              <w:tab/>
              <w:t>19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7">
            <w:r w:rsidR="0076614F">
              <w:t>Статья 13.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76614F">
              <w:tab/>
              <w:t>20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8">
            <w:r w:rsidR="0076614F">
              <w:t>Статья 14. Зоны с особыми условиями использования территории</w:t>
            </w:r>
            <w:r w:rsidR="0076614F">
              <w:tab/>
              <w:t>20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199">
            <w:r w:rsidR="0076614F">
              <w:t>Статья 14.1. Санитарно-защитные зоны предприятий, сооружений и иных объектов</w:t>
            </w:r>
            <w:r w:rsidR="0076614F">
              <w:tab/>
              <w:t>21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0">
            <w:r w:rsidR="0076614F">
              <w:t>Статья 14.2. Водоохранные зоны и прибрежные защитные полосы водных объектов</w:t>
            </w:r>
            <w:r w:rsidR="0076614F">
              <w:tab/>
              <w:t>21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1">
            <w:r w:rsidR="0076614F">
              <w:t>Статья 14.3. Охранные зоны инженерных коммуникаций, сооружений</w:t>
            </w:r>
            <w:r w:rsidR="0076614F">
              <w:tab/>
              <w:t>22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12">
            <w:r w:rsidR="0076614F">
              <w:t xml:space="preserve">Статья 14.4. </w:t>
            </w:r>
            <w:r w:rsidR="0076614F">
              <w:rPr>
                <w:iCs/>
              </w:rPr>
              <w:t>Зона минимальных расстояний до магистральных или промышленных трубопроводов.</w:t>
            </w:r>
            <w:r w:rsidR="0076614F">
              <w:tab/>
              <w:t>22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4">
            <w:r w:rsidR="0076614F">
              <w:t>Статья 15. Особо охраняемые природные территории</w:t>
            </w:r>
            <w:r w:rsidR="0076614F">
              <w:tab/>
              <w:t>22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51">
            <w:r w:rsidR="0076614F">
              <w:t>Статья 16. Лесничества</w:t>
            </w:r>
            <w:r w:rsidR="0076614F">
              <w:tab/>
              <w:t>23</w:t>
            </w:r>
          </w:hyperlink>
        </w:p>
        <w:p w:rsidR="001A3114" w:rsidRDefault="001F3365">
          <w:pPr>
            <w:pStyle w:val="16"/>
            <w:tabs>
              <w:tab w:val="right" w:leader="dot" w:pos="9921"/>
            </w:tabs>
          </w:pPr>
          <w:hyperlink w:anchor="__RefHeading___Toc88848205">
            <w:r w:rsidR="0076614F">
              <w:t>Статья 17. Объекты культурного наследия</w:t>
            </w:r>
            <w:r w:rsidR="0076614F">
              <w:tab/>
              <w:t>23</w:t>
            </w:r>
          </w:hyperlink>
          <w:r w:rsidR="0076614F">
            <w:fldChar w:fldCharType="end"/>
          </w:r>
        </w:p>
      </w:sdtContent>
    </w:sdt>
    <w:p w:rsidR="001A3114" w:rsidRDefault="001A3114">
      <w:pPr>
        <w:pStyle w:val="af6"/>
        <w:rPr>
          <w:rFonts w:ascii="Calibri" w:hAnsi="Calibri"/>
          <w:sz w:val="22"/>
        </w:rPr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1" w:name="__RefHeading___Toc88848171"/>
      <w:bookmarkEnd w:id="1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Ленинское сельское поселение </w:t>
      </w:r>
      <w:proofErr w:type="spellStart"/>
      <w:r>
        <w:t>Старожиловского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4" w:name="__RefHeading___Toc88848174"/>
      <w:bookmarkEnd w:id="4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5. 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6.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7. 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5" w:name="__RefHeading___Toc88848175"/>
      <w:bookmarkEnd w:id="5"/>
      <w:r>
        <w:rPr>
          <w:rFonts w:cs="Times New Roman"/>
        </w:rPr>
        <w:lastRenderedPageBreak/>
        <w:t>Статья 4. Положение о подготовке документации по планировке территории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</w:t>
      </w:r>
      <w:r>
        <w:lastRenderedPageBreak/>
        <w:t>градостроительной деятельности в поселениях и городских округах Рязанской области.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</w:t>
      </w:r>
      <w:r w:rsidR="00497A85">
        <w:t xml:space="preserve"> </w:t>
      </w:r>
      <w:r>
        <w:t>о результатах общественных обсуждений или публичных слушаний.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</w:t>
      </w:r>
      <w: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8" w:name="__RefHeading___Toc88848178"/>
      <w:bookmarkEnd w:id="8"/>
      <w:r>
        <w:rPr>
          <w:rFonts w:cs="Times New Roman"/>
        </w:rPr>
        <w:t>Статья 7. Градостроительные планы земельных участков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1A3114" w:rsidRDefault="001A3114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9" w:name="__RefHeading___Toc88848179"/>
      <w:bookmarkEnd w:id="9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1A3114" w:rsidRDefault="0076614F">
      <w:pPr>
        <w:pStyle w:val="af6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A3114" w:rsidRDefault="001A3114">
      <w:pPr>
        <w:pStyle w:val="af6"/>
        <w:rPr>
          <w:rFonts w:cs="Times New Roman"/>
          <w:color w:val="000000"/>
          <w:szCs w:val="28"/>
          <w:shd w:val="clear" w:color="auto" w:fill="FFFFFF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0" w:name="__RefHeading___Toc88848180"/>
      <w:bookmarkEnd w:id="10"/>
      <w:r>
        <w:rPr>
          <w:rFonts w:cs="Times New Roman"/>
        </w:rPr>
        <w:t>Раздел 2. Градостроительные регламенты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1" w:name="__RefHeading___Toc88848181"/>
      <w:bookmarkEnd w:id="11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proofErr w:type="gramStart"/>
      <w:r>
        <w:rPr>
          <w:rFonts w:cs="Times New Roman"/>
          <w:color w:val="000000"/>
        </w:rPr>
        <w:t>требования</w:t>
      </w:r>
      <w:proofErr w:type="gramEnd"/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A3114" w:rsidRDefault="0076614F">
      <w:pPr>
        <w:pStyle w:val="af6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1A3114" w:rsidRDefault="0076614F">
      <w:pPr>
        <w:pStyle w:val="af6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1A3114" w:rsidRDefault="0076614F">
      <w:pPr>
        <w:pStyle w:val="af6"/>
      </w:pPr>
      <w:r>
        <w:t>4. Градостроительные регламенты установлены с учетом:</w:t>
      </w:r>
    </w:p>
    <w:p w:rsidR="001A3114" w:rsidRDefault="0076614F">
      <w:pPr>
        <w:pStyle w:val="af6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1A3114" w:rsidRDefault="0076614F">
      <w:pPr>
        <w:pStyle w:val="af6"/>
      </w:pPr>
      <w:r>
        <w:lastRenderedPageBreak/>
        <w:t>2) возможного сочетания в пре</w:t>
      </w:r>
      <w:r w:rsidR="00693A1F">
        <w:t>делах одной территориальной зоны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1A3114" w:rsidRDefault="0076614F">
      <w:pPr>
        <w:pStyle w:val="af6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>4) видов территориальных зон;</w:t>
      </w:r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1A3114" w:rsidRDefault="0076614F">
      <w:pPr>
        <w:pStyle w:val="af6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1A3114" w:rsidRDefault="0076614F">
      <w:pPr>
        <w:pStyle w:val="af6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1A3114" w:rsidRDefault="0076614F">
      <w:pPr>
        <w:pStyle w:val="af6"/>
      </w:pPr>
      <w:r>
        <w:t>2) в границах территорий общего пользования;</w:t>
      </w:r>
    </w:p>
    <w:p w:rsidR="001A3114" w:rsidRDefault="0076614F">
      <w:pPr>
        <w:pStyle w:val="af6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1A3114" w:rsidRDefault="0076614F">
      <w:pPr>
        <w:pStyle w:val="af6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2" w:name="__RefHeading___Toc88848182"/>
      <w:bookmarkEnd w:id="12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Ленинское сельское поселение </w:t>
      </w:r>
      <w:proofErr w:type="spellStart"/>
      <w:r>
        <w:rPr>
          <w:rFonts w:eastAsia="Times New Roman"/>
          <w:spacing w:val="5"/>
          <w:szCs w:val="28"/>
        </w:rPr>
        <w:t>Старожиловского</w:t>
      </w:r>
      <w:proofErr w:type="spellEnd"/>
      <w:r>
        <w:rPr>
          <w:rFonts w:eastAsia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</w:t>
      </w:r>
      <w:proofErr w:type="gramStart"/>
      <w:r>
        <w:rPr>
          <w:rFonts w:eastAsia="Times New Roman"/>
          <w:spacing w:val="5"/>
          <w:szCs w:val="28"/>
        </w:rPr>
        <w:t>зон</w:t>
      </w:r>
      <w:proofErr w:type="gramEnd"/>
      <w:r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1A3114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Обозначение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территориальной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1A3114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36195</wp:posOffset>
                      </wp:positionV>
                      <wp:extent cx="658495" cy="321310"/>
                      <wp:effectExtent l="5715" t="5715" r="4445" b="444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76614F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0" path="m0,0l-2147483645,0l-2147483645,-2147483646l0,-2147483646xe" fillcolor="#ff6450" stroked="t" o:allowincell="f" style="position:absolute;margin-left:34.1pt;margin-top:2.85pt;width:51.8pt;height:25.25pt;mso-wrap-style:square;v-text-anchor:top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>Жилые зоны (1)</w:t>
            </w:r>
          </w:p>
        </w:tc>
      </w:tr>
      <w:tr w:rsidR="001A3114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3" behindDoc="0" locked="0" layoutInCell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36195</wp:posOffset>
                      </wp:positionV>
                      <wp:extent cx="658495" cy="321310"/>
                      <wp:effectExtent l="5715" t="5715" r="4445" b="4445"/>
                      <wp:wrapNone/>
                      <wp:docPr id="3" name="Врезка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89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76614F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 1" path="m0,0l-2147483645,0l-2147483645,-2147483646l0,-2147483646xe" fillcolor="#fa897a" stroked="t" o:allowincell="f" style="position:absolute;margin-left:34.1pt;margin-top:2.85pt;width:51.8pt;height:25.25pt;mso-wrap-style:square;v-text-anchor:top">
                      <v:fill o:detectmouseclick="t" type="solid" color2="#057685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 xml:space="preserve">Жилые зоны. </w:t>
            </w:r>
            <w:proofErr w:type="spellStart"/>
            <w:r>
              <w:t>Подзона</w:t>
            </w:r>
            <w:proofErr w:type="spellEnd"/>
            <w:r>
              <w:t xml:space="preserve"> блокированной жилой застройки (1.1)</w:t>
            </w:r>
          </w:p>
        </w:tc>
      </w:tr>
      <w:tr w:rsidR="001A3114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50800</wp:posOffset>
                      </wp:positionV>
                      <wp:extent cx="659130" cy="312420"/>
                      <wp:effectExtent l="5080" t="5080" r="5080" b="5080"/>
                      <wp:wrapNone/>
                      <wp:docPr id="5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6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76614F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1A3114" w:rsidRDefault="001A3114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" path="m0,0l-2147483645,0l-2147483645,-2147483646l0,-2147483646xe" fillcolor="#ffffb6" stroked="t" o:allowincell="f" style="position:absolute;margin-left:34.05pt;margin-top:4pt;width:51.85pt;height:24.55pt;mso-wrap-style:square;v-text-anchor:top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>Зоны сельскохозяйственного использования (4.2)</w:t>
            </w:r>
          </w:p>
        </w:tc>
      </w:tr>
      <w:tr w:rsidR="001A3114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5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60325</wp:posOffset>
                      </wp:positionV>
                      <wp:extent cx="662305" cy="312420"/>
                      <wp:effectExtent l="5715" t="5080" r="4445" b="5080"/>
                      <wp:wrapNone/>
                      <wp:docPr id="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40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76614F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fillcolor="#c0c000" stroked="t" o:allowincell="f" style="position:absolute;margin-left:34.15pt;margin-top:4.75pt;width:52.1pt;height:24.55pt;mso-wrap-style:square;v-text-anchor:top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>Производственная зона сельскохозяйственных предприятий (4.4)</w:t>
            </w:r>
          </w:p>
        </w:tc>
      </w:tr>
      <w:tr w:rsidR="001A3114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32790" cy="365125"/>
                      <wp:effectExtent l="0" t="0" r="0" b="0"/>
                      <wp:wrapNone/>
                      <wp:docPr id="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76614F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stroked="f" o:allowincell="f" style="position:absolute;margin-left:32.85pt;margin-top:1.8pt;width:57.65pt;height:28.7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>Зона кладбищ (6.1)</w:t>
            </w:r>
          </w:p>
        </w:tc>
      </w:tr>
    </w:tbl>
    <w:p w:rsidR="001A3114" w:rsidRDefault="0076614F">
      <w:pPr>
        <w:pStyle w:val="af6"/>
      </w:pPr>
      <w:r>
        <w:rPr>
          <w:color w:val="000000"/>
          <w:spacing w:val="5"/>
          <w:szCs w:val="28"/>
        </w:rPr>
        <w:t>Границы территориальных зон отображены на карте градостроительного зонирования.</w:t>
      </w:r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1A3114" w:rsidRDefault="001A3114">
      <w:pPr>
        <w:pStyle w:val="af6"/>
      </w:pPr>
    </w:p>
    <w:p w:rsidR="001A3114" w:rsidRDefault="0076614F">
      <w:pPr>
        <w:pStyle w:val="af6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1A3114" w:rsidRDefault="0076614F">
      <w:pPr>
        <w:pStyle w:val="af6"/>
      </w:pPr>
      <w:r>
        <w:t>1) основные виды разрешенного использования;</w:t>
      </w:r>
    </w:p>
    <w:p w:rsidR="001A3114" w:rsidRDefault="0076614F">
      <w:pPr>
        <w:pStyle w:val="af6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1A3114" w:rsidRDefault="0076614F">
      <w:pPr>
        <w:pStyle w:val="af6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A3114" w:rsidRDefault="0076614F">
      <w:pPr>
        <w:pStyle w:val="af6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 xml:space="preserve">федеральным органом исполнительной власти, осуществляющим функции по </w:t>
      </w:r>
      <w:r w:rsidR="00F9732B">
        <w:rPr>
          <w:color w:val="000000"/>
          <w:spacing w:val="5"/>
          <w:szCs w:val="28"/>
        </w:rPr>
        <w:t>выборке государственной политики</w:t>
      </w:r>
      <w:r>
        <w:rPr>
          <w:color w:val="000000"/>
          <w:spacing w:val="5"/>
          <w:szCs w:val="28"/>
        </w:rPr>
        <w:t xml:space="preserve"> и нормативному регулированию в сфере земельных отношений.</w:t>
      </w:r>
    </w:p>
    <w:p w:rsidR="001A3114" w:rsidRDefault="0076614F">
      <w:pPr>
        <w:pStyle w:val="af6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A3114" w:rsidRDefault="0076614F">
      <w:pPr>
        <w:pStyle w:val="af6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1A3114" w:rsidRDefault="0076614F">
      <w:pPr>
        <w:pStyle w:val="af6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lastRenderedPageBreak/>
        <w:t>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1A3114" w:rsidRDefault="0076614F">
      <w:pPr>
        <w:pStyle w:val="af6"/>
        <w:rPr>
          <w:shd w:val="clear" w:color="auto" w:fill="FFFFFF"/>
        </w:rPr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7.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1A3114" w:rsidRDefault="0076614F">
      <w:pPr>
        <w:pStyle w:val="af6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1A3114" w:rsidRDefault="0076614F">
      <w:pPr>
        <w:pStyle w:val="af6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1A3114" w:rsidRDefault="0076614F">
      <w:pPr>
        <w:pStyle w:val="af6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14" w:name="__RefHeading___Toc88848184"/>
      <w:bookmarkEnd w:id="14"/>
      <w:r>
        <w:rPr>
          <w:rFonts w:cs="Times New Roman"/>
        </w:rPr>
        <w:t>Статья 11.1. Жилые зоны (1)</w:t>
      </w:r>
    </w:p>
    <w:p w:rsidR="001A3114" w:rsidRDefault="001A3114">
      <w:pPr>
        <w:pStyle w:val="af6"/>
        <w:rPr>
          <w:rFonts w:cs="Times New Roman"/>
          <w:sz w:val="24"/>
          <w:szCs w:val="24"/>
        </w:rPr>
      </w:pPr>
    </w:p>
    <w:p w:rsidR="001A3114" w:rsidRDefault="0076614F">
      <w:pPr>
        <w:pStyle w:val="af6"/>
        <w:numPr>
          <w:ilvl w:val="0"/>
          <w:numId w:val="2"/>
        </w:numPr>
        <w:ind w:firstLine="567"/>
      </w:pPr>
      <w:r>
        <w:rPr>
          <w:rFonts w:eastAsia="XO Thames;Times New Roman" w:cs="Times New Roman"/>
          <w:color w:val="000000"/>
          <w:szCs w:val="28"/>
        </w:rPr>
        <w:t xml:space="preserve">1. Жилые зоны предназначены </w:t>
      </w:r>
      <w:r>
        <w:rPr>
          <w:rFonts w:eastAsia="XO Thames;Times New Roman" w:cs="Times New Roman"/>
          <w:color w:val="000000"/>
          <w:szCs w:val="28"/>
          <w:lang w:eastAsia="ar-SA"/>
        </w:rPr>
        <w:t>для размещения индивидуальных жилых домов с приусадебными земельными участками</w:t>
      </w:r>
      <w:r>
        <w:rPr>
          <w:rFonts w:eastAsia="XO Thames;Times New Roman" w:cs="Times New Roman"/>
          <w:color w:val="000000"/>
          <w:szCs w:val="28"/>
        </w:rPr>
        <w:t xml:space="preserve">, малоэтажных и блокированных жилых домов, объектов </w:t>
      </w:r>
      <w:r>
        <w:rPr>
          <w:rFonts w:eastAsia="XO Thames;Times New Roman" w:cs="Times New Roman"/>
          <w:color w:val="000000"/>
          <w:szCs w:val="28"/>
          <w:lang w:eastAsia="ar-SA"/>
        </w:rPr>
        <w:t>государственного и делового управления,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eastAsia="XO Thames;Times New Roman" w:cs="Times New Roman"/>
          <w:color w:val="000000"/>
          <w:szCs w:val="28"/>
          <w:lang w:eastAsia="ar-SA"/>
        </w:rPr>
        <w:t>социального, культурного, бытового обслужи</w:t>
      </w:r>
      <w:r>
        <w:rPr>
          <w:rFonts w:eastAsia="XO Thames;Times New Roman" w:cs="Times New Roman"/>
          <w:color w:val="000000"/>
          <w:szCs w:val="28"/>
        </w:rPr>
        <w:t>вания.</w:t>
      </w:r>
    </w:p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жилых зонах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83"/>
        <w:gridCol w:w="1752"/>
      </w:tblGrid>
      <w:tr w:rsidR="001A311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000000"/>
              </w:rPr>
              <w:t>обеспечи-вающих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общежития;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3.3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spacing w:line="283" w:lineRule="exact"/>
            </w:pPr>
            <w:r>
              <w:t>земельные участки (территории) общего пользования.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религиозное использование;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t>гостиничное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4.7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</w:tbl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 </w:t>
      </w:r>
      <w:r>
        <w:rPr>
          <w:rFonts w:eastAsia="Times New Roman" w:cs="Times New Roman"/>
          <w:szCs w:val="28"/>
          <w:lang w:eastAsia="ru-RU"/>
        </w:rPr>
        <w:t xml:space="preserve">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676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1A3114">
        <w:trPr>
          <w:tblHeader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1A3114" w:rsidRDefault="0076614F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1A3114">
        <w:trPr>
          <w:trHeight w:hRule="exact" w:val="567"/>
          <w:tblHeader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567"/>
          <w:tblHeader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2.1.1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72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3.1.1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1431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1A3114" w:rsidRDefault="0076614F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1A3114" w:rsidRDefault="001A3114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15" w:name="__RefHeading___Toc888481841"/>
      <w:bookmarkEnd w:id="15"/>
      <w:r>
        <w:rPr>
          <w:rFonts w:cs="Times New Roman"/>
        </w:rPr>
        <w:t xml:space="preserve">Статья 11.2. Жилые зоны. </w:t>
      </w:r>
      <w:proofErr w:type="spellStart"/>
      <w:r>
        <w:rPr>
          <w:rFonts w:cs="Times New Roman"/>
        </w:rPr>
        <w:t>Подзона</w:t>
      </w:r>
      <w:proofErr w:type="spellEnd"/>
      <w:r>
        <w:rPr>
          <w:rFonts w:cs="Times New Roman"/>
        </w:rPr>
        <w:t xml:space="preserve"> блокированной жилой застройки (1.1)</w:t>
      </w:r>
    </w:p>
    <w:p w:rsidR="001A3114" w:rsidRDefault="001A3114">
      <w:pPr>
        <w:pStyle w:val="af6"/>
        <w:rPr>
          <w:rFonts w:cs="Times New Roman"/>
          <w:sz w:val="24"/>
          <w:szCs w:val="24"/>
        </w:rPr>
      </w:pPr>
    </w:p>
    <w:p w:rsidR="001A3114" w:rsidRDefault="0076614F">
      <w:pPr>
        <w:pStyle w:val="af6"/>
        <w:numPr>
          <w:ilvl w:val="0"/>
          <w:numId w:val="2"/>
        </w:numPr>
        <w:ind w:firstLine="567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proofErr w:type="spellStart"/>
      <w:r>
        <w:rPr>
          <w:rFonts w:eastAsia="XO Thames;Times New Roman" w:cs="Times New Roman"/>
          <w:color w:val="000000"/>
          <w:szCs w:val="28"/>
        </w:rPr>
        <w:t>Подзона</w:t>
      </w:r>
      <w:proofErr w:type="spellEnd"/>
      <w:r>
        <w:rPr>
          <w:rFonts w:eastAsia="XO Thames;Times New Roman" w:cs="Times New Roman"/>
          <w:color w:val="000000"/>
          <w:szCs w:val="28"/>
        </w:rPr>
        <w:t xml:space="preserve"> блокированной жилой застройки </w:t>
      </w:r>
      <w:proofErr w:type="gramStart"/>
      <w:r>
        <w:rPr>
          <w:rFonts w:eastAsia="XO Thames;Times New Roman" w:cs="Times New Roman"/>
          <w:color w:val="000000"/>
          <w:szCs w:val="28"/>
        </w:rPr>
        <w:t>выделена</w:t>
      </w:r>
      <w:proofErr w:type="gramEnd"/>
      <w:r>
        <w:rPr>
          <w:rFonts w:eastAsia="XO Thames;Times New Roman" w:cs="Times New Roman"/>
          <w:color w:val="000000"/>
          <w:szCs w:val="28"/>
        </w:rPr>
        <w:t xml:space="preserve"> в жилой зоне с целью размещения блокированного жилого дома.</w:t>
      </w:r>
    </w:p>
    <w:p w:rsidR="001A3114" w:rsidRDefault="0076614F">
      <w:pPr>
        <w:pStyle w:val="af6"/>
        <w:rPr>
          <w:sz w:val="24"/>
          <w:szCs w:val="24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подзоне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блокированной жилой застройки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представлены в таблице ниже.</w:t>
      </w:r>
    </w:p>
    <w:p w:rsidR="001A3114" w:rsidRDefault="001A3114">
      <w:pPr>
        <w:pStyle w:val="af6"/>
        <w:rPr>
          <w:sz w:val="24"/>
          <w:szCs w:val="24"/>
        </w:rPr>
      </w:pP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83"/>
        <w:gridCol w:w="1752"/>
      </w:tblGrid>
      <w:tr w:rsidR="001A311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000000"/>
              </w:rPr>
              <w:t>обеспечи-вающих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общежития;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3.3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spacing w:line="283" w:lineRule="exact"/>
            </w:pPr>
            <w:r>
              <w:t>земельные участки (территории) общего пользования.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религиозное использование;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t>гостиничное обслуживание;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4.7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</w:tbl>
    <w:p w:rsidR="001A3114" w:rsidRDefault="0076614F">
      <w:pPr>
        <w:pStyle w:val="af6"/>
        <w:rPr>
          <w:sz w:val="24"/>
          <w:szCs w:val="24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proofErr w:type="spellStart"/>
      <w:r>
        <w:rPr>
          <w:rFonts w:eastAsia="XO Thames;Times New Roman" w:cs="Times New Roman"/>
          <w:color w:val="000000"/>
          <w:szCs w:val="28"/>
          <w:lang w:eastAsia="ru-RU"/>
        </w:rPr>
        <w:t>подзоне</w:t>
      </w:r>
      <w:proofErr w:type="spellEnd"/>
      <w:r>
        <w:rPr>
          <w:rFonts w:eastAsia="XO Thames;Times New Roman" w:cs="Times New Roman"/>
          <w:color w:val="000000"/>
          <w:szCs w:val="28"/>
          <w:lang w:eastAsia="ru-RU"/>
        </w:rPr>
        <w:t xml:space="preserve"> блокированной жилой застройки</w:t>
      </w:r>
      <w:r>
        <w:rPr>
          <w:rFonts w:cs="Times New Roman"/>
          <w:color w:val="000000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675"/>
        <w:gridCol w:w="683"/>
        <w:gridCol w:w="735"/>
        <w:gridCol w:w="710"/>
        <w:gridCol w:w="822"/>
        <w:gridCol w:w="821"/>
        <w:gridCol w:w="1335"/>
        <w:gridCol w:w="1700"/>
        <w:gridCol w:w="1469"/>
      </w:tblGrid>
      <w:tr w:rsidR="001A3114">
        <w:trPr>
          <w:tblHeader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1A3114" w:rsidRDefault="0076614F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1A3114">
        <w:trPr>
          <w:trHeight w:hRule="exact" w:val="567"/>
          <w:tblHeader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567"/>
          <w:tblHeader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2.1.1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2.2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 (0)**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24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72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3.5.1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283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1A3114">
        <w:trPr>
          <w:trHeight w:hRule="exact" w:val="1431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1A3114" w:rsidRDefault="0076614F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1A3114" w:rsidRDefault="001A3114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1A3114" w:rsidRDefault="001A3114">
      <w:pPr>
        <w:rPr>
          <w:szCs w:val="24"/>
        </w:rPr>
      </w:pPr>
    </w:p>
    <w:p w:rsidR="001A3114" w:rsidRDefault="0076614F">
      <w:pPr>
        <w:pStyle w:val="1"/>
        <w:tabs>
          <w:tab w:val="clear" w:pos="0"/>
        </w:tabs>
        <w:ind w:firstLine="567"/>
        <w:rPr>
          <w:rFonts w:cs="Times New Roman"/>
        </w:rPr>
      </w:pPr>
      <w:bookmarkStart w:id="16" w:name="__RefHeading___Toc88848191"/>
      <w:bookmarkEnd w:id="16"/>
      <w:r>
        <w:rPr>
          <w:rFonts w:cs="Times New Roman"/>
        </w:rPr>
        <w:t>Статья 11.</w:t>
      </w:r>
      <w:r w:rsidRPr="00497A85">
        <w:rPr>
          <w:rFonts w:cs="Times New Roman"/>
          <w:color w:val="000000"/>
        </w:rPr>
        <w:t>3</w:t>
      </w:r>
      <w:r>
        <w:rPr>
          <w:rFonts w:cs="Times New Roman"/>
        </w:rPr>
        <w:t>. Зоны сельскохозяйственного использования (4.2)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</w:pPr>
      <w:r>
        <w:t>1. 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83"/>
        <w:gridCol w:w="1752"/>
      </w:tblGrid>
      <w:tr w:rsidR="001A311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1.16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1.19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1.20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1.8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1.9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1.10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1.11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1.15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1.17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/>
              <w:jc w:val="center"/>
            </w:pPr>
            <w:r>
              <w:t>1.18</w:t>
            </w:r>
          </w:p>
        </w:tc>
      </w:tr>
      <w:tr w:rsidR="001A311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57" w:firstLine="567"/>
            </w:pPr>
            <w:r>
              <w:t>-</w:t>
            </w:r>
          </w:p>
        </w:tc>
      </w:tr>
    </w:tbl>
    <w:p w:rsidR="001A3114" w:rsidRDefault="0076614F">
      <w:pPr>
        <w:pStyle w:val="af6"/>
        <w:rPr>
          <w:rFonts w:cs="Times New Roman"/>
          <w:szCs w:val="28"/>
        </w:rPr>
      </w:pPr>
      <w: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зонах сельскохозяйственного использования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88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1A3114">
        <w:trPr>
          <w:tblHeader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1A3114" w:rsidRDefault="0076614F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17" w:name="__RefHeading___Toc88848192"/>
      <w:bookmarkEnd w:id="17"/>
      <w:r>
        <w:rPr>
          <w:rFonts w:eastAsia="Times New Roman" w:cs="Times New Roman"/>
        </w:rPr>
        <w:t>Статья 11.</w:t>
      </w:r>
      <w:r w:rsidRPr="00497A85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Производственная зона сельскохозяйственных предприятий (4.4)</w:t>
      </w:r>
    </w:p>
    <w:p w:rsidR="001A3114" w:rsidRDefault="001A3114">
      <w:pPr>
        <w:pStyle w:val="af6"/>
        <w:rPr>
          <w:sz w:val="20"/>
          <w:szCs w:val="20"/>
        </w:rPr>
      </w:pPr>
    </w:p>
    <w:p w:rsidR="001A3114" w:rsidRDefault="0076614F">
      <w:pPr>
        <w:pStyle w:val="af6"/>
        <w:rPr>
          <w:rFonts w:cs="Times New Roman"/>
          <w:szCs w:val="28"/>
        </w:rPr>
      </w:pPr>
      <w: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переработки сельскохозяйственной продукции, питомников, для которых необходима организация санитарно-защитной зоны в соответствии</w:t>
      </w:r>
      <w:r>
        <w:br/>
        <w:t>с требованиями технических регламентов.</w:t>
      </w:r>
    </w:p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83"/>
        <w:gridCol w:w="1752"/>
      </w:tblGrid>
      <w:tr w:rsidR="001A311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1A3114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1.7</w:t>
            </w:r>
          </w:p>
        </w:tc>
      </w:tr>
      <w:tr w:rsidR="001A311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1.13</w:t>
            </w:r>
          </w:p>
        </w:tc>
      </w:tr>
      <w:tr w:rsidR="001A311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1.17</w:t>
            </w:r>
          </w:p>
        </w:tc>
      </w:tr>
      <w:tr w:rsidR="001A311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1.18</w:t>
            </w:r>
          </w:p>
        </w:tc>
      </w:tr>
      <w:tr w:rsidR="001A311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овощеводство;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1.3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1.4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садоводство;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1.5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льна и конопли;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1.6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1.12</w:t>
            </w:r>
          </w:p>
        </w:tc>
      </w:tr>
      <w:tr w:rsidR="001A311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1A3114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1.14</w:t>
            </w:r>
          </w:p>
        </w:tc>
      </w:tr>
      <w:tr w:rsidR="001A311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spacing w:line="255" w:lineRule="exact"/>
            </w:pPr>
            <w:r>
              <w:t>Вспомогательные</w:t>
            </w:r>
          </w:p>
          <w:p w:rsidR="001A3114" w:rsidRDefault="0076614F">
            <w:pPr>
              <w:pStyle w:val="aff1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88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1A3114">
        <w:trPr>
          <w:tblHeader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1A3114" w:rsidRDefault="0076614F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1A3114" w:rsidRDefault="001A3114">
      <w:pPr>
        <w:pStyle w:val="af6"/>
        <w:rPr>
          <w:szCs w:val="28"/>
        </w:rPr>
      </w:pPr>
    </w:p>
    <w:p w:rsidR="001A3114" w:rsidRDefault="001A3114">
      <w:pPr>
        <w:pStyle w:val="af6"/>
        <w:rPr>
          <w:szCs w:val="28"/>
        </w:rPr>
      </w:pPr>
    </w:p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</w:pPr>
      <w:bookmarkStart w:id="18" w:name="__RefHeading___Toc88848193"/>
      <w:bookmarkEnd w:id="18"/>
      <w:r>
        <w:rPr>
          <w:rFonts w:cs="Times New Roman"/>
        </w:rPr>
        <w:lastRenderedPageBreak/>
        <w:t>Статья 11.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>. Зона кладбищ (6.1)</w:t>
      </w:r>
    </w:p>
    <w:p w:rsidR="001A3114" w:rsidRDefault="001A3114">
      <w:pPr>
        <w:pStyle w:val="af6"/>
        <w:rPr>
          <w:rFonts w:cs="Times New Roman"/>
          <w:szCs w:val="28"/>
        </w:rPr>
      </w:pPr>
    </w:p>
    <w:p w:rsidR="001A3114" w:rsidRDefault="0076614F">
      <w:pPr>
        <w:pStyle w:val="af6"/>
      </w:pPr>
      <w: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1A3114" w:rsidRDefault="0076614F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82"/>
        <w:gridCol w:w="1753"/>
      </w:tblGrid>
      <w:tr w:rsidR="001A31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1A311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12.1</w:t>
            </w:r>
          </w:p>
        </w:tc>
      </w:tr>
      <w:tr w:rsidR="001A311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1A311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1A3114" w:rsidRDefault="0076614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1A3114" w:rsidRDefault="0076614F">
      <w:pPr>
        <w:pStyle w:val="af6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 </w:t>
      </w:r>
      <w:r>
        <w:rPr>
          <w:rFonts w:cs="Times New Roman"/>
          <w:szCs w:val="28"/>
        </w:rPr>
        <w:t xml:space="preserve">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88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1A3114">
        <w:trPr>
          <w:tblHeader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1A3114" w:rsidRDefault="0076614F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1A3114" w:rsidRDefault="0076614F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567"/>
          <w:tblHeader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1A3114">
            <w:pPr>
              <w:pStyle w:val="aff1"/>
              <w:widowControl w:val="0"/>
              <w:ind w:left="0"/>
              <w:jc w:val="center"/>
            </w:pP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1A3114">
        <w:trPr>
          <w:trHeight w:hRule="exact" w:val="283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1A3114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1"/>
        <w:tabs>
          <w:tab w:val="clear" w:pos="0"/>
        </w:tabs>
        <w:ind w:firstLine="567"/>
      </w:pPr>
      <w:bookmarkStart w:id="19" w:name="__RefHeading___Toc88848196"/>
      <w:bookmarkEnd w:id="19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1A3114" w:rsidRDefault="001A3114">
      <w:pPr>
        <w:pStyle w:val="af6"/>
        <w:rPr>
          <w:rFonts w:cs="Times New Roman"/>
          <w:sz w:val="20"/>
          <w:szCs w:val="20"/>
        </w:rPr>
      </w:pPr>
    </w:p>
    <w:p w:rsidR="001A3114" w:rsidRDefault="0076614F">
      <w:pPr>
        <w:pStyle w:val="af6"/>
        <w:rPr>
          <w:rFonts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 xml:space="preserve">1. В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cs="Times New Roman"/>
          <w:spacing w:val="5"/>
          <w:szCs w:val="28"/>
        </w:rPr>
        <w:t>Ленинское</w:t>
      </w:r>
      <w:r>
        <w:rPr>
          <w:rFonts w:eastAsia="Times New Roman" w:cs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cs="Times New Roman"/>
          <w:spacing w:val="5"/>
          <w:szCs w:val="28"/>
        </w:rPr>
        <w:t>Старожиловского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муниципального района Рязанской области выделены земли, для которых градостроительны</w:t>
      </w:r>
      <w:r w:rsidR="00083F96">
        <w:rPr>
          <w:rFonts w:eastAsia="Times New Roman" w:cs="Times New Roman"/>
          <w:spacing w:val="5"/>
          <w:szCs w:val="28"/>
        </w:rPr>
        <w:t xml:space="preserve">е регламенты не устанавливаются, </w:t>
      </w:r>
      <w:r>
        <w:rPr>
          <w:rFonts w:eastAsia="Times New Roman" w:cs="Times New Roman"/>
          <w:spacing w:val="5"/>
          <w:szCs w:val="28"/>
        </w:rPr>
        <w:t>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1A3114">
        <w:trPr>
          <w:trHeight w:val="497"/>
          <w:tblHeader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Обозначение</w:t>
            </w:r>
          </w:p>
          <w:p w:rsidR="001A3114" w:rsidRDefault="0076614F">
            <w:pPr>
              <w:pStyle w:val="aff1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t>Наименование земель</w:t>
            </w:r>
          </w:p>
        </w:tc>
      </w:tr>
      <w:tr w:rsidR="001A3114">
        <w:trPr>
          <w:trHeight w:val="387"/>
          <w:tblHeader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1A3114">
            <w:pPr>
              <w:widowControl w:val="0"/>
              <w:snapToGrid w:val="0"/>
            </w:pPr>
          </w:p>
        </w:tc>
        <w:tc>
          <w:tcPr>
            <w:tcW w:w="7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1A3114">
            <w:pPr>
              <w:widowControl w:val="0"/>
              <w:snapToGrid w:val="0"/>
            </w:pPr>
          </w:p>
        </w:tc>
      </w:tr>
      <w:tr w:rsidR="001A3114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1" behindDoc="0" locked="0" layoutInCell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75565</wp:posOffset>
                      </wp:positionV>
                      <wp:extent cx="687705" cy="312420"/>
                      <wp:effectExtent l="5715" t="5080" r="4445" b="508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60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1A3114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2" path="m0,0l-2147483645,0l-2147483645,-2147483646l0,-2147483646xe" fillcolor="#c4e6b2" stroked="t" o:allowincell="f" style="position:absolute;margin-left:33.7pt;margin-top:5.95pt;width:54.1pt;height:24.55pt;mso-wrap-style:none;v-text-anchor:middle"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1A3114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5" behindDoc="0" locked="0" layoutInCell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75565</wp:posOffset>
                      </wp:positionV>
                      <wp:extent cx="687705" cy="312420"/>
                      <wp:effectExtent l="5715" t="5080" r="4445" b="5080"/>
                      <wp:wrapNone/>
                      <wp:docPr id="14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60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A3114" w:rsidRDefault="001A3114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 1" path="m0,0l-2147483645,0l-2147483645,-2147483646l0,-2147483646xe" fillcolor="#d0e0b0" stroked="t" o:allowincell="f" style="position:absolute;margin-left:33.7pt;margin-top:5.95pt;width:54.1pt;height:24.55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A3114" w:rsidRDefault="0076614F">
            <w:pPr>
              <w:pStyle w:val="aff1"/>
              <w:widowControl w:val="0"/>
              <w:ind w:left="57"/>
            </w:pPr>
            <w:r>
              <w:t>Зона сельскохозяйственных угодий</w:t>
            </w:r>
          </w:p>
        </w:tc>
      </w:tr>
    </w:tbl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lastRenderedPageBreak/>
        <w:t xml:space="preserve">2. </w:t>
      </w:r>
      <w:r>
        <w:rPr>
          <w:rFonts w:eastAsia="Times New Roman" w:cs="Times New Roman"/>
          <w:bCs/>
          <w:color w:val="000000"/>
          <w:spacing w:val="2"/>
          <w:szCs w:val="20"/>
          <w:shd w:val="clear" w:color="auto" w:fill="FFFFFF"/>
          <w:lang w:eastAsia="hi-IN"/>
        </w:rPr>
        <w:t>Согласно части 6 статьи 36 Градостроительного кодекса Российской Федерации градостроительные регламенты не устанавливаются для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hi-IN"/>
        </w:rPr>
        <w:t xml:space="preserve">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>земель лесного фонда и зон сельскохозяйственных угодий.</w:t>
      </w:r>
    </w:p>
    <w:p w:rsidR="001A3114" w:rsidRDefault="0076614F">
      <w:pPr>
        <w:pStyle w:val="af6"/>
      </w:pPr>
      <w:bookmarkStart w:id="20" w:name="__RefHeading___Toc8171_427537143"/>
      <w:bookmarkEnd w:id="20"/>
      <w:r>
        <w:rPr>
          <w:rFonts w:cs="Times New Roman"/>
          <w:szCs w:val="28"/>
        </w:rPr>
        <w:t xml:space="preserve">3.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 Российской Федерации.</w:t>
      </w:r>
    </w:p>
    <w:p w:rsidR="001A3114" w:rsidRDefault="001A3114">
      <w:pPr>
        <w:pStyle w:val="af6"/>
        <w:rPr>
          <w:sz w:val="24"/>
          <w:szCs w:val="24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21" w:name="__RefHeading___Toc88848197"/>
      <w:bookmarkEnd w:id="21"/>
      <w:r>
        <w:rPr>
          <w:rFonts w:cs="Times New Roman"/>
          <w:color w:val="000000"/>
          <w:shd w:val="clear" w:color="auto" w:fill="auto"/>
        </w:rPr>
        <w:t>Статья 13.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1A3114" w:rsidRDefault="001A3114">
      <w:pPr>
        <w:pStyle w:val="af6"/>
        <w:rPr>
          <w:rFonts w:cs="Times New Roman"/>
          <w:color w:val="000000"/>
          <w:sz w:val="24"/>
          <w:szCs w:val="24"/>
        </w:rPr>
      </w:pPr>
    </w:p>
    <w:p w:rsidR="001A3114" w:rsidRDefault="0076614F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  <w:r>
        <w:rPr>
          <w:rFonts w:eastAsia="Times New Roman" w:cs="Times New Roman"/>
          <w:color w:val="000000"/>
          <w:szCs w:val="28"/>
          <w:lang w:eastAsia="hi-IN"/>
        </w:rPr>
        <w:t xml:space="preserve">На территории Ленинского сельского поселения </w:t>
      </w:r>
      <w:proofErr w:type="spellStart"/>
      <w:r>
        <w:rPr>
          <w:rFonts w:eastAsia="Times New Roman" w:cs="Times New Roman"/>
          <w:color w:val="000000"/>
          <w:szCs w:val="28"/>
          <w:lang w:eastAsia="hi-IN"/>
        </w:rPr>
        <w:t>Старожиловского</w:t>
      </w:r>
      <w:proofErr w:type="spellEnd"/>
      <w:r>
        <w:rPr>
          <w:rFonts w:eastAsia="Times New Roman" w:cs="Times New Roman"/>
          <w:color w:val="000000"/>
          <w:szCs w:val="28"/>
          <w:lang w:eastAsia="hi-IN"/>
        </w:rP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Федерации, не устанавливаются.</w:t>
      </w:r>
    </w:p>
    <w:p w:rsidR="001A3114" w:rsidRDefault="001A3114">
      <w:pPr>
        <w:pStyle w:val="af6"/>
        <w:rPr>
          <w:rFonts w:eastAsia="Times New Roman" w:cs="Times New Roman"/>
          <w:color w:val="000000"/>
          <w:sz w:val="24"/>
          <w:szCs w:val="24"/>
          <w:lang w:eastAsia="hi-IN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2" w:name="__RefHeading___Toc88848198"/>
      <w:bookmarkEnd w:id="22"/>
      <w:r>
        <w:rPr>
          <w:rFonts w:cs="Times New Roman"/>
          <w:color w:val="000000"/>
          <w:shd w:val="clear" w:color="auto" w:fill="auto"/>
        </w:rPr>
        <w:t>Статья 14. Зоны с особыми условиями использования территории</w:t>
      </w:r>
    </w:p>
    <w:p w:rsidR="001A3114" w:rsidRDefault="001A3114">
      <w:pPr>
        <w:pStyle w:val="af6"/>
        <w:rPr>
          <w:rFonts w:cs="Times New Roman"/>
          <w:sz w:val="20"/>
          <w:szCs w:val="20"/>
        </w:rPr>
      </w:pPr>
    </w:p>
    <w:p w:rsidR="001A3114" w:rsidRDefault="0076614F">
      <w:pPr>
        <w:pStyle w:val="af6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1A3114" w:rsidRDefault="0076614F">
      <w:pPr>
        <w:pStyle w:val="af6"/>
      </w:pPr>
      <w: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t>На территории Ленинского</w:t>
      </w:r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  <w:lang w:eastAsia="ru-RU"/>
        </w:rPr>
        <w:t>Старожиловского</w:t>
      </w:r>
      <w:proofErr w:type="spell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муниципального района Рязанской области</w:t>
      </w:r>
      <w:r>
        <w:t xml:space="preserve"> могут быть установлены и </w:t>
      </w:r>
      <w:r>
        <w:lastRenderedPageBreak/>
        <w:t xml:space="preserve">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1A3114" w:rsidRDefault="0076614F">
      <w:pPr>
        <w:pStyle w:val="af6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федеральными законами Российской Федерации, могут не совпадать с границами территориальных зон. 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1A3114" w:rsidRDefault="001A3114">
      <w:pPr>
        <w:pStyle w:val="af6"/>
        <w:rPr>
          <w:sz w:val="20"/>
          <w:szCs w:val="20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</w:pPr>
      <w:bookmarkStart w:id="23" w:name="__RefHeading___Toc88848199"/>
      <w:bookmarkEnd w:id="23"/>
      <w:r>
        <w:rPr>
          <w:rFonts w:cs="Times New Roman"/>
          <w:bCs w:val="0"/>
          <w:color w:val="000000"/>
          <w:shd w:val="clear" w:color="auto" w:fill="auto"/>
        </w:rPr>
        <w:t>Статья 14.1.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1A3114" w:rsidRDefault="001A3114">
      <w:pPr>
        <w:pStyle w:val="af6"/>
        <w:rPr>
          <w:rFonts w:cs="Times New Roman"/>
          <w:color w:val="000000"/>
          <w:sz w:val="20"/>
          <w:szCs w:val="20"/>
        </w:rPr>
      </w:pPr>
    </w:p>
    <w:p w:rsidR="001A3114" w:rsidRDefault="0076614F">
      <w:pPr>
        <w:pStyle w:val="af6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1A3114" w:rsidRDefault="0076614F">
      <w:pPr>
        <w:pStyle w:val="af6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- и натуральных исследований.</w:t>
      </w:r>
    </w:p>
    <w:p w:rsidR="001A3114" w:rsidRDefault="0076614F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1A3114" w:rsidRDefault="001A3114">
      <w:pPr>
        <w:pStyle w:val="af6"/>
        <w:rPr>
          <w:sz w:val="20"/>
          <w:szCs w:val="20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4" w:name="__RefHeading___Toc88848200"/>
      <w:bookmarkEnd w:id="24"/>
      <w:r>
        <w:rPr>
          <w:rFonts w:cs="Times New Roman"/>
          <w:color w:val="000000"/>
          <w:shd w:val="clear" w:color="auto" w:fill="auto"/>
        </w:rPr>
        <w:t xml:space="preserve">Статья 14.2. </w:t>
      </w:r>
      <w:proofErr w:type="spellStart"/>
      <w:r>
        <w:rPr>
          <w:rFonts w:cs="Times New Roman"/>
          <w:color w:val="000000"/>
          <w:shd w:val="clear" w:color="auto" w:fill="auto"/>
        </w:rPr>
        <w:t>Водоохранные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зоны и прибрежные защитные полосы водных объектов</w:t>
      </w:r>
    </w:p>
    <w:p w:rsidR="001A3114" w:rsidRDefault="001A3114">
      <w:pPr>
        <w:pStyle w:val="af6"/>
        <w:rPr>
          <w:rFonts w:cs="Times New Roman"/>
          <w:color w:val="000000"/>
          <w:sz w:val="20"/>
          <w:szCs w:val="20"/>
        </w:rPr>
      </w:pPr>
    </w:p>
    <w:p w:rsidR="001A3114" w:rsidRDefault="0076614F">
      <w:pPr>
        <w:pStyle w:val="af6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1A3114" w:rsidRDefault="0076614F">
      <w:pPr>
        <w:pStyle w:val="af6"/>
        <w:rPr>
          <w:szCs w:val="28"/>
        </w:rPr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1A3114" w:rsidRDefault="0076614F">
      <w:pPr>
        <w:pStyle w:val="af6"/>
        <w:rPr>
          <w:szCs w:val="28"/>
        </w:rPr>
      </w:pPr>
      <w:r>
        <w:rPr>
          <w:color w:val="000000"/>
          <w:szCs w:val="28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1A3114" w:rsidRDefault="001A3114">
      <w:pPr>
        <w:pStyle w:val="af6"/>
        <w:rPr>
          <w:color w:val="000000"/>
          <w:sz w:val="20"/>
          <w:szCs w:val="20"/>
        </w:rPr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5" w:name="__RefHeading___Toc88848201"/>
      <w:bookmarkEnd w:id="25"/>
      <w:r>
        <w:rPr>
          <w:rFonts w:cs="Times New Roman"/>
          <w:color w:val="000000"/>
          <w:shd w:val="clear" w:color="auto" w:fill="auto"/>
        </w:rPr>
        <w:lastRenderedPageBreak/>
        <w:t>Статья 14.3. Охранные зоны инженерных коммуникаций, сооружений</w:t>
      </w:r>
    </w:p>
    <w:p w:rsidR="001A3114" w:rsidRDefault="001A3114">
      <w:pPr>
        <w:pStyle w:val="af6"/>
        <w:rPr>
          <w:rFonts w:cs="Times New Roman"/>
          <w:sz w:val="20"/>
          <w:szCs w:val="20"/>
        </w:rPr>
      </w:pPr>
    </w:p>
    <w:p w:rsidR="001A3114" w:rsidRDefault="0076614F">
      <w:pPr>
        <w:pStyle w:val="af6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1A3114" w:rsidRDefault="0076614F">
      <w:pPr>
        <w:pStyle w:val="af6"/>
      </w:pPr>
      <w:r>
        <w:rPr>
          <w:rFonts w:cs="Times New Roman"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shd w:val="clear" w:color="auto" w:fill="auto"/>
        </w:rPr>
      </w:pPr>
      <w:bookmarkStart w:id="26" w:name="__RefHeading___Toc888482012"/>
      <w:bookmarkEnd w:id="26"/>
      <w:r>
        <w:rPr>
          <w:rFonts w:cs="Times New Roman"/>
          <w:color w:val="000000"/>
          <w:shd w:val="clear" w:color="auto" w:fill="auto"/>
        </w:rPr>
        <w:t xml:space="preserve">Статья 14.4. </w:t>
      </w:r>
      <w:r>
        <w:rPr>
          <w:rFonts w:eastAsia="Calibri" w:cs="Times New Roman"/>
          <w:iCs/>
          <w:color w:val="000000"/>
          <w:shd w:val="clear" w:color="auto" w:fill="auto"/>
        </w:rPr>
        <w:t>Зона минимальных расстояний до магистральных или промышленных трубопроводов.</w:t>
      </w:r>
    </w:p>
    <w:p w:rsidR="001A3114" w:rsidRDefault="001A3114">
      <w:pPr>
        <w:pStyle w:val="af6"/>
        <w:rPr>
          <w:szCs w:val="28"/>
        </w:rPr>
      </w:pPr>
    </w:p>
    <w:p w:rsidR="001A3114" w:rsidRDefault="0076614F">
      <w:pPr>
        <w:contextualSpacing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</w:t>
      </w:r>
      <w:r w:rsidR="00A812D1">
        <w:rPr>
          <w:rFonts w:eastAsia="Times New Roman" w:cs="Times New Roman"/>
          <w:iCs/>
          <w:color w:val="000000"/>
          <w:sz w:val="28"/>
          <w:szCs w:val="28"/>
        </w:rPr>
        <w:t>ий, иных объектов обеспечивающих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безопасность при возможных авариях объектов магистральных или промышленных трубопроводов.</w:t>
      </w:r>
    </w:p>
    <w:p w:rsidR="001A3114" w:rsidRDefault="0076614F">
      <w:pPr>
        <w:pStyle w:val="af6"/>
        <w:contextualSpacing/>
        <w:rPr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1A3114" w:rsidRDefault="001A3114">
      <w:pPr>
        <w:pStyle w:val="af6"/>
        <w:rPr>
          <w:sz w:val="20"/>
          <w:szCs w:val="20"/>
        </w:rPr>
      </w:pPr>
    </w:p>
    <w:p w:rsidR="001A3114" w:rsidRDefault="0076614F">
      <w:pPr>
        <w:pStyle w:val="1"/>
        <w:widowControl w:val="0"/>
        <w:tabs>
          <w:tab w:val="clear" w:pos="0"/>
        </w:tabs>
        <w:ind w:firstLine="567"/>
        <w:contextualSpacing/>
        <w:rPr>
          <w:shd w:val="clear" w:color="auto" w:fill="auto"/>
        </w:rPr>
      </w:pPr>
      <w:bookmarkStart w:id="27" w:name="__RefHeading___Toc88848204"/>
      <w:bookmarkEnd w:id="27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15. Особо охраняемые природные территории</w:t>
      </w:r>
    </w:p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af6"/>
      </w:pPr>
      <w:r>
        <w:rPr>
          <w:rFonts w:eastAsia="Times New Roman" w:cs="Times New Roman"/>
          <w:iCs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szCs w:val="28"/>
        </w:rPr>
        <w:t>Согласно Федерального закона от 14.03.1995 № 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rPr>
          <w:rFonts w:eastAsia="Times New Roman" w:cs="Times New Roman"/>
          <w:iCs/>
          <w:szCs w:val="28"/>
        </w:rPr>
        <w:t xml:space="preserve"> особой охраны.</w:t>
      </w:r>
    </w:p>
    <w:p w:rsidR="001A3114" w:rsidRDefault="0076614F">
      <w:pPr>
        <w:pStyle w:val="af6"/>
        <w:rPr>
          <w:shd w:val="clear" w:color="auto" w:fill="FFFFFF"/>
        </w:rPr>
      </w:pP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2. Согласно данным, предоставленным Министерства природопользования Рязанской области, в настоящее время на территории Ленинского</w:t>
      </w:r>
      <w:r>
        <w:rPr>
          <w:iCs/>
          <w:color w:val="000000"/>
          <w:shd w:val="clear" w:color="auto" w:fill="FFFFFF"/>
        </w:rPr>
        <w:t xml:space="preserve"> сельского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поселения, особо охраняемые природные территории областного (регионального) значения и их охранные зоны отсутствуют. </w:t>
      </w:r>
    </w:p>
    <w:p w:rsidR="001A3114" w:rsidRDefault="0076614F">
      <w:pPr>
        <w:pStyle w:val="af6"/>
      </w:pP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3. На территории Ленинского</w:t>
      </w:r>
      <w:r>
        <w:rPr>
          <w:iCs/>
          <w:color w:val="000000"/>
          <w:shd w:val="clear" w:color="auto" w:fill="FFFFFF"/>
        </w:rPr>
        <w:t xml:space="preserve"> сельского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поселени</w:t>
      </w:r>
      <w:r>
        <w:rPr>
          <w:iCs/>
          <w:color w:val="000000"/>
          <w:shd w:val="clear" w:color="auto" w:fill="FFFFFF"/>
        </w:rPr>
        <w:t>я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Старожиловского</w:t>
      </w:r>
      <w:proofErr w:type="spellEnd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муниципального района Рязанской области отсутствуют ООПТ федерального и местного значения.</w:t>
      </w:r>
    </w:p>
    <w:p w:rsidR="001A3114" w:rsidRDefault="001A3114">
      <w:pPr>
        <w:pStyle w:val="af6"/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shd w:val="clear" w:color="auto" w:fill="auto"/>
        </w:rPr>
      </w:pPr>
      <w:bookmarkStart w:id="28" w:name="__RefHeading___Toc888482051"/>
      <w:bookmarkEnd w:id="28"/>
      <w:r>
        <w:rPr>
          <w:rFonts w:cs="Times New Roman"/>
          <w:color w:val="000000"/>
          <w:shd w:val="clear" w:color="auto" w:fill="auto"/>
        </w:rPr>
        <w:lastRenderedPageBreak/>
        <w:t>Статья 16. Лесничества</w:t>
      </w:r>
    </w:p>
    <w:p w:rsidR="001A3114" w:rsidRDefault="0076614F">
      <w:pPr>
        <w:pStyle w:val="af6"/>
        <w:rPr>
          <w:szCs w:val="28"/>
        </w:rPr>
      </w:pPr>
      <w:r>
        <w:rPr>
          <w:rFonts w:eastAsia="Times New Roman" w:cs="Times New Roman"/>
          <w:iCs/>
          <w:szCs w:val="28"/>
        </w:rPr>
        <w:t xml:space="preserve">На территории 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Ленинского</w:t>
      </w:r>
      <w:r>
        <w:rPr>
          <w:rFonts w:eastAsia="Times New Roman" w:cs="Times New Roman"/>
          <w:iCs/>
          <w:szCs w:val="28"/>
        </w:rPr>
        <w:t xml:space="preserve"> сельского поселения </w:t>
      </w:r>
      <w:proofErr w:type="spellStart"/>
      <w:r>
        <w:rPr>
          <w:rFonts w:eastAsia="Times New Roman" w:cs="Times New Roman"/>
          <w:iCs/>
          <w:szCs w:val="28"/>
        </w:rPr>
        <w:t>Старожиловского</w:t>
      </w:r>
      <w:proofErr w:type="spellEnd"/>
      <w:r>
        <w:rPr>
          <w:rFonts w:eastAsia="Times New Roman" w:cs="Times New Roman"/>
          <w:iCs/>
          <w:szCs w:val="28"/>
        </w:rPr>
        <w:t xml:space="preserve"> муниципального района Рязанской области располагаются </w:t>
      </w:r>
      <w:r>
        <w:rPr>
          <w:rFonts w:eastAsia="XO Thames;Times New Roman" w:cs="Times New Roman"/>
          <w:iCs/>
          <w:szCs w:val="28"/>
        </w:rPr>
        <w:t xml:space="preserve">следующие </w:t>
      </w:r>
      <w:proofErr w:type="gramStart"/>
      <w:r>
        <w:rPr>
          <w:rFonts w:eastAsia="XO Thames;Times New Roman" w:cs="Times New Roman"/>
          <w:iCs/>
          <w:szCs w:val="28"/>
        </w:rPr>
        <w:t>лесничества</w:t>
      </w:r>
      <w:proofErr w:type="gramEnd"/>
      <w:r>
        <w:rPr>
          <w:rFonts w:eastAsia="XO Thames;Times New Roman" w:cs="Times New Roman"/>
          <w:iCs/>
          <w:szCs w:val="28"/>
        </w:rPr>
        <w:t xml:space="preserve"> представленные в таблице ниже</w:t>
      </w:r>
      <w:r>
        <w:rPr>
          <w:rFonts w:eastAsia="Times New Roman" w:cs="Times New Roman"/>
          <w:iCs/>
          <w:szCs w:val="28"/>
        </w:rPr>
        <w:t>.</w:t>
      </w:r>
    </w:p>
    <w:tbl>
      <w:tblPr>
        <w:tblW w:w="96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1981"/>
        <w:gridCol w:w="4324"/>
      </w:tblGrid>
      <w:tr w:rsidR="001A3114">
        <w:trPr>
          <w:trHeight w:val="862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лесничества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Реестровый номер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Реквизиты решения об установлении  границ лесничества</w:t>
            </w:r>
          </w:p>
        </w:tc>
      </w:tr>
      <w:tr w:rsidR="001A3114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граница ГКУ РО Рязанское лесничество</w:t>
            </w:r>
          </w:p>
          <w:p w:rsidR="001A3114" w:rsidRDefault="001A3114">
            <w:pPr>
              <w:pStyle w:val="aff1"/>
              <w:widowControl w:val="0"/>
              <w:jc w:val="center"/>
              <w:rPr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rFonts w:eastAsia="Segoe UI"/>
                <w:szCs w:val="24"/>
                <w:lang w:bidi="ru-RU"/>
              </w:rPr>
              <w:t>62:00-15.5</w:t>
            </w:r>
          </w:p>
          <w:p w:rsidR="001A3114" w:rsidRDefault="001A3114">
            <w:pPr>
              <w:pStyle w:val="aff1"/>
              <w:widowControl w:val="0"/>
              <w:jc w:val="center"/>
              <w:rPr>
                <w:rFonts w:eastAsia="Segoe UI"/>
                <w:szCs w:val="24"/>
                <w:lang w:bidi="ru-RU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4" w:rsidRDefault="0076614F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rFonts w:eastAsia="Segoe UI"/>
                <w:szCs w:val="24"/>
                <w:lang w:bidi="ru-RU"/>
              </w:rPr>
              <w:t>Приказ Федерального агентства лесного хозяйства от 07.03.2018 № 134</w:t>
            </w:r>
          </w:p>
          <w:p w:rsidR="001A3114" w:rsidRDefault="0076614F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«Об установлении границ Рязанского лесничества в Рязанской области»</w:t>
            </w:r>
          </w:p>
        </w:tc>
      </w:tr>
    </w:tbl>
    <w:p w:rsidR="001A3114" w:rsidRDefault="001A3114">
      <w:pPr>
        <w:pStyle w:val="af6"/>
        <w:ind w:firstLine="0"/>
        <w:textAlignment w:val="baseline"/>
      </w:pPr>
    </w:p>
    <w:p w:rsidR="001A3114" w:rsidRDefault="0076614F">
      <w:pPr>
        <w:pStyle w:val="1"/>
        <w:tabs>
          <w:tab w:val="clear" w:pos="0"/>
        </w:tabs>
        <w:ind w:firstLine="567"/>
        <w:contextualSpacing/>
        <w:rPr>
          <w:shd w:val="clear" w:color="auto" w:fill="auto"/>
        </w:rPr>
      </w:pPr>
      <w:bookmarkStart w:id="29" w:name="__RefHeading___Toc88848205"/>
      <w:bookmarkEnd w:id="29"/>
      <w:r>
        <w:rPr>
          <w:rFonts w:cs="Times New Roman"/>
          <w:shd w:val="clear" w:color="auto" w:fill="auto"/>
        </w:rPr>
        <w:t>Статья 17. Объекты культурного наследия</w:t>
      </w:r>
    </w:p>
    <w:p w:rsidR="001A3114" w:rsidRDefault="001A3114">
      <w:pPr>
        <w:pStyle w:val="af6"/>
      </w:pPr>
    </w:p>
    <w:p w:rsidR="001A3114" w:rsidRDefault="0076614F">
      <w:pPr>
        <w:pStyle w:val="af6"/>
      </w:pPr>
      <w:r>
        <w:t xml:space="preserve">1. На территории Ленинского сельского поселения </w:t>
      </w:r>
      <w:proofErr w:type="spellStart"/>
      <w:r>
        <w:t>Старожиловского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1A3114" w:rsidRDefault="0076614F">
      <w:pPr>
        <w:pStyle w:val="af6"/>
        <w:rPr>
          <w:szCs w:val="28"/>
        </w:rPr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Ленинского сельского поселения </w:t>
      </w:r>
      <w:proofErr w:type="spellStart"/>
      <w:r>
        <w:rPr>
          <w:rFonts w:cs="Times New Roman"/>
          <w:szCs w:val="28"/>
        </w:rPr>
        <w:t>Старожиловского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</w:t>
      </w:r>
      <w:r>
        <w:t>р</w:t>
      </w:r>
      <w:r w:rsidR="0070169F">
        <w:t>асположены: 1 выявленный объект</w:t>
      </w:r>
      <w:r>
        <w:t xml:space="preserve"> культурного наследия (памятника архитектуры), 1 выявленный объект археологического наследия, перечень которых указан в таблицах ниже.</w:t>
      </w:r>
    </w:p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af6"/>
        <w:jc w:val="center"/>
        <w:rPr>
          <w:b/>
          <w:bCs/>
        </w:rPr>
      </w:pPr>
      <w:r>
        <w:rPr>
          <w:b/>
          <w:bCs/>
        </w:rPr>
        <w:t>Перечень выявленных объектов культурного наследия (памятники архитектуры)</w:t>
      </w:r>
    </w:p>
    <w:tbl>
      <w:tblPr>
        <w:tblW w:w="991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33"/>
        <w:gridCol w:w="2695"/>
        <w:gridCol w:w="3218"/>
        <w:gridCol w:w="3273"/>
      </w:tblGrid>
      <w:tr w:rsidR="001A3114">
        <w:trPr>
          <w:trHeight w:val="340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ind w:firstLine="57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объекта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Местонахождение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1A3114">
        <w:trPr>
          <w:trHeight w:val="410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TableParagraph"/>
              <w:widowControl w:val="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</w:pPr>
            <w:r>
              <w:t>«Борисоглебская церковь», 1838-1850 гг.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Суйск</w:t>
            </w:r>
            <w:proofErr w:type="spellEnd"/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4" w:rsidRDefault="0076614F">
            <w:pPr>
              <w:pStyle w:val="aff1"/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комитета по культуре и туризму Рязанской области № 269 от 14.04.2011</w:t>
            </w:r>
          </w:p>
        </w:tc>
      </w:tr>
    </w:tbl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af6"/>
        <w:jc w:val="center"/>
      </w:pPr>
      <w:r>
        <w:rPr>
          <w:b/>
          <w:bCs/>
          <w:szCs w:val="28"/>
        </w:rPr>
        <w:t>Перечень выявленных объектов археологического наследия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265"/>
        <w:gridCol w:w="4820"/>
      </w:tblGrid>
      <w:tr w:rsidR="001A3114">
        <w:trPr>
          <w:trHeight w:val="103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widowControl w:val="0"/>
              <w:tabs>
                <w:tab w:val="left" w:pos="165"/>
                <w:tab w:val="left" w:pos="1324"/>
              </w:tabs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widowControl w:val="0"/>
              <w:tabs>
                <w:tab w:val="left" w:pos="1324"/>
              </w:tabs>
              <w:ind w:left="-57" w:right="-57" w:firstLine="0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объекта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tabs>
                <w:tab w:val="left" w:pos="705"/>
              </w:tabs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Cs w:val="24"/>
              </w:rPr>
              <w:t>Местонахождение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TableParagraph"/>
              <w:widowControl w:val="0"/>
              <w:tabs>
                <w:tab w:val="left" w:pos="705"/>
              </w:tabs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Cs w:val="24"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1A3114">
        <w:trPr>
          <w:trHeight w:val="51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Большеполянское</w:t>
            </w:r>
            <w:proofErr w:type="spellEnd"/>
            <w:r>
              <w:rPr>
                <w:color w:val="000000"/>
              </w:rPr>
              <w:t xml:space="preserve"> городище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км к </w:t>
            </w:r>
            <w:proofErr w:type="gramStart"/>
            <w:r>
              <w:rPr>
                <w:color w:val="000000"/>
              </w:rPr>
              <w:t>Ю</w:t>
            </w:r>
            <w:proofErr w:type="gramEnd"/>
            <w:r>
              <w:rPr>
                <w:color w:val="000000"/>
              </w:rPr>
              <w:t xml:space="preserve"> от с. Большие Поляны, на правом берегу ручья </w:t>
            </w:r>
            <w:proofErr w:type="spellStart"/>
            <w:r>
              <w:rPr>
                <w:color w:val="000000"/>
              </w:rPr>
              <w:t>Вожерка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4" w:rsidRDefault="0076614F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председателя комитета по культуре и туризму Рязанской области от 14.04.2011 № 269</w:t>
            </w:r>
          </w:p>
        </w:tc>
      </w:tr>
    </w:tbl>
    <w:p w:rsidR="001A3114" w:rsidRDefault="0076614F">
      <w:pPr>
        <w:pStyle w:val="af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Границы территорий выявленного объекта археологического наследия не утверждены.</w:t>
      </w:r>
    </w:p>
    <w:p w:rsidR="001A3114" w:rsidRDefault="001A3114">
      <w:pPr>
        <w:pStyle w:val="af6"/>
        <w:rPr>
          <w:szCs w:val="28"/>
        </w:rPr>
      </w:pPr>
    </w:p>
    <w:p w:rsidR="001A3114" w:rsidRDefault="0076614F">
      <w:pPr>
        <w:pStyle w:val="af6"/>
        <w:rPr>
          <w:szCs w:val="28"/>
        </w:rPr>
      </w:pPr>
      <w:r>
        <w:lastRenderedPageBreak/>
        <w:t xml:space="preserve">3. В соответствии с Федеральным законом от 25.06.2002 № 73-ФЗ «Об объектах культурного наследия (памятниках истории и культуры) народов Российской Федерации» </w:t>
      </w:r>
      <w:r>
        <w:rPr>
          <w:color w:val="000000"/>
          <w:szCs w:val="28"/>
          <w:lang w:eastAsia="ru-RU"/>
        </w:rPr>
        <w:t xml:space="preserve"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1A3114" w:rsidRDefault="0076614F">
      <w:pPr>
        <w:pStyle w:val="af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 </w:t>
      </w:r>
    </w:p>
    <w:p w:rsidR="001A3114" w:rsidRDefault="0076614F">
      <w:pPr>
        <w:pStyle w:val="af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1A31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65" w:rsidRDefault="001F3365">
      <w:r>
        <w:separator/>
      </w:r>
    </w:p>
  </w:endnote>
  <w:endnote w:type="continuationSeparator" w:id="0">
    <w:p w:rsidR="001F3365" w:rsidRDefault="001F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14" w:rsidRDefault="001A3114">
    <w:pPr>
      <w:pStyle w:val="afc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14" w:rsidRDefault="001A311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65" w:rsidRDefault="001F3365">
      <w:r>
        <w:separator/>
      </w:r>
    </w:p>
  </w:footnote>
  <w:footnote w:type="continuationSeparator" w:id="0">
    <w:p w:rsidR="001F3365" w:rsidRDefault="001F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14" w:rsidRDefault="0076614F">
    <w:pPr>
      <w:pStyle w:val="afc"/>
    </w:pPr>
    <w:r>
      <w:fldChar w:fldCharType="begin"/>
    </w:r>
    <w:r>
      <w:instrText xml:space="preserve"> PAGE </w:instrText>
    </w:r>
    <w:r>
      <w:fldChar w:fldCharType="separate"/>
    </w:r>
    <w:r w:rsidR="009E34D7">
      <w:rPr>
        <w:noProof/>
      </w:rPr>
      <w:t>24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14" w:rsidRDefault="001A311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96A"/>
    <w:multiLevelType w:val="multilevel"/>
    <w:tmpl w:val="C4823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3C166E"/>
    <w:multiLevelType w:val="multilevel"/>
    <w:tmpl w:val="3C40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CA4969"/>
    <w:multiLevelType w:val="multilevel"/>
    <w:tmpl w:val="F4282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114"/>
    <w:rsid w:val="00083F96"/>
    <w:rsid w:val="001A3114"/>
    <w:rsid w:val="001F3365"/>
    <w:rsid w:val="002D096E"/>
    <w:rsid w:val="003E48B7"/>
    <w:rsid w:val="00497A85"/>
    <w:rsid w:val="00693A1F"/>
    <w:rsid w:val="0070169F"/>
    <w:rsid w:val="0076614F"/>
    <w:rsid w:val="009E34D7"/>
    <w:rsid w:val="00A812D1"/>
    <w:rsid w:val="00E449A6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ind w:firstLine="0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tabs>
        <w:tab w:val="num" w:pos="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Pr>
      <w:sz w:val="28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pPr>
      <w:suppressLineNumbers/>
      <w:ind w:firstLine="0"/>
      <w:jc w:val="center"/>
    </w:pPr>
  </w:style>
  <w:style w:type="paragraph" w:styleId="afd">
    <w:name w:val="footer"/>
    <w:basedOn w:val="a"/>
  </w:style>
  <w:style w:type="paragraph" w:styleId="16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2">
    <w:name w:val="toc 2"/>
    <w:basedOn w:val="a"/>
    <w:next w:val="a"/>
    <w:pPr>
      <w:spacing w:after="100"/>
      <w:ind w:left="220" w:firstLine="709"/>
    </w:pPr>
  </w:style>
  <w:style w:type="paragraph" w:styleId="31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e">
    <w:name w:val="Body Text Indent"/>
    <w:basedOn w:val="a"/>
    <w:pPr>
      <w:spacing w:after="120"/>
      <w:ind w:left="283" w:firstLine="709"/>
    </w:pPr>
  </w:style>
  <w:style w:type="paragraph" w:styleId="aff">
    <w:name w:val="Subtitle"/>
    <w:basedOn w:val="a"/>
    <w:next w:val="af6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0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1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pPr>
      <w:ind w:firstLine="0"/>
      <w:jc w:val="center"/>
    </w:pPr>
  </w:style>
  <w:style w:type="paragraph" w:customStyle="1" w:styleId="aff4">
    <w:name w:val="Верхний колонтитул слева"/>
    <w:basedOn w:val="afc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5"/>
    <w:next w:val="af6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5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9"/>
    <w:qFormat/>
    <w:pPr>
      <w:tabs>
        <w:tab w:val="right" w:leader="dot" w:pos="9921"/>
      </w:tabs>
    </w:pPr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6">
    <w:name w:val="Balloon Text"/>
    <w:basedOn w:val="a"/>
    <w:link w:val="aff7"/>
    <w:uiPriority w:val="99"/>
    <w:semiHidden/>
    <w:unhideWhenUsed/>
    <w:rsid w:val="00497A85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497A85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1423-31C7-4489-8287-B1DC719B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24</Pages>
  <Words>7588</Words>
  <Characters>43253</Characters>
  <Application>Microsoft Office Word</Application>
  <DocSecurity>0</DocSecurity>
  <Lines>360</Lines>
  <Paragraphs>101</Paragraphs>
  <ScaleCrop>false</ScaleCrop>
  <Company>КонсультантПлюс Версия 4021.00.65</Company>
  <LinksUpToDate>false</LinksUpToDate>
  <CharactersWithSpaces>50740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</cp:keywords>
  <dc:description/>
  <cp:lastModifiedBy>LENOVO</cp:lastModifiedBy>
  <cp:revision>591</cp:revision>
  <cp:lastPrinted>2022-08-12T08:53:00Z</cp:lastPrinted>
  <dcterms:created xsi:type="dcterms:W3CDTF">2022-08-11T09:17:00Z</dcterms:created>
  <dcterms:modified xsi:type="dcterms:W3CDTF">2023-03-09T07:06:00Z</dcterms:modified>
  <dc:language>ru-RU</dc:language>
</cp:coreProperties>
</file>