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5286" w:rsidRDefault="00B728E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286" w:rsidRDefault="00B728E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E95286" w:rsidRDefault="00B728E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E95286" w:rsidRDefault="00E9528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5286" w:rsidRDefault="00E9528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E95286" w:rsidRDefault="00B728E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95286" w:rsidRDefault="00E9528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5286" w:rsidRDefault="00E9528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95286" w:rsidRDefault="00E86B57">
      <w:pPr>
        <w:tabs>
          <w:tab w:val="left" w:pos="709"/>
        </w:tabs>
      </w:pPr>
      <w:r>
        <w:rPr>
          <w:sz w:val="28"/>
          <w:szCs w:val="28"/>
        </w:rPr>
        <w:t>21 апреля</w:t>
      </w:r>
      <w:r w:rsidR="00B728E5">
        <w:rPr>
          <w:sz w:val="28"/>
          <w:szCs w:val="28"/>
        </w:rPr>
        <w:t xml:space="preserve"> 202</w:t>
      </w:r>
      <w:r w:rsidR="00B728E5">
        <w:rPr>
          <w:sz w:val="28"/>
          <w:szCs w:val="28"/>
        </w:rPr>
        <w:t>3</w:t>
      </w:r>
      <w:r w:rsidR="00B728E5">
        <w:rPr>
          <w:sz w:val="28"/>
          <w:szCs w:val="28"/>
        </w:rPr>
        <w:t xml:space="preserve"> г.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B728E5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184-п</w:t>
      </w:r>
    </w:p>
    <w:p w:rsidR="00E95286" w:rsidRDefault="00E9528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95286" w:rsidRDefault="00E9528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E95286" w:rsidRDefault="00B728E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 предоставлении разрешения 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62:25:0040408:351 по адресу: Рязанская область, Шиловский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Надеино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Центральная,</w:t>
      </w:r>
    </w:p>
    <w:p w:rsidR="00E95286" w:rsidRDefault="00B728E5">
      <w:pPr>
        <w:pStyle w:val="ConsPlusNormal"/>
        <w:ind w:firstLine="0"/>
        <w:jc w:val="center"/>
      </w:pPr>
      <w:r>
        <w:rPr>
          <w:rStyle w:val="12"/>
          <w:color w:val="000000"/>
          <w:spacing w:val="0"/>
          <w:sz w:val="28"/>
          <w:szCs w:val="28"/>
        </w:rPr>
        <w:t>земельный участок 125</w:t>
      </w:r>
    </w:p>
    <w:p w:rsidR="00E95286" w:rsidRDefault="00E9528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5286" w:rsidRDefault="00B728E5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kern w:val="2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дминистрации муниципального образования — Шиловский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62:25:0040408:351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</w:t>
      </w:r>
      <w:r>
        <w:rPr>
          <w:rStyle w:val="12"/>
          <w:color w:val="000000"/>
          <w:spacing w:val="0"/>
          <w:sz w:val="28"/>
          <w:szCs w:val="28"/>
        </w:rPr>
        <w:t xml:space="preserve">Шиловский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Надеино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Центральная, земельный участок 125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.04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</w:t>
      </w:r>
      <w:r>
        <w:rPr>
          <w:rFonts w:ascii="Times New Roman" w:hAnsi="Times New Roman" w:cs="Times New Roman"/>
          <w:sz w:val="28"/>
          <w:szCs w:val="28"/>
        </w:rPr>
        <w:t>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</w:t>
      </w:r>
      <w:r>
        <w:rPr>
          <w:rFonts w:ascii="Times New Roman" w:hAnsi="Times New Roman" w:cs="Times New Roman"/>
          <w:sz w:val="28"/>
          <w:szCs w:val="28"/>
        </w:rPr>
        <w:t>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E95286" w:rsidRDefault="00B728E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62:25:0040408:351 по адресу: Рязанская область, Шиловский район,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Надеино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 ул. Центральная, земельный участок 125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Осуществление религиозных обрядов (3.7.1)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95286" w:rsidRDefault="00B728E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E95286" w:rsidRDefault="00B728E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E95286" w:rsidRDefault="00B728E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E95286" w:rsidRDefault="00B728E5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95286" w:rsidRDefault="00B728E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E95286" w:rsidRDefault="00B728E5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E95286" w:rsidRDefault="00B728E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Шиловский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Инякинское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E95286" w:rsidRDefault="00B728E5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</w:t>
      </w:r>
      <w:r>
        <w:rPr>
          <w:rFonts w:ascii="Times New Roman" w:hAnsi="Times New Roman" w:cs="Times New Roman"/>
          <w:sz w:val="28"/>
          <w:szCs w:val="28"/>
          <w:highlight w:val="white"/>
        </w:rPr>
        <w:t>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E95286" w:rsidRDefault="00E95286">
      <w:pPr>
        <w:pStyle w:val="ConsPlusNormal"/>
        <w:ind w:firstLine="0"/>
        <w:jc w:val="both"/>
        <w:rPr>
          <w:sz w:val="28"/>
          <w:szCs w:val="28"/>
        </w:rPr>
      </w:pPr>
    </w:p>
    <w:p w:rsidR="00E95286" w:rsidRDefault="00E9528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5286" w:rsidRDefault="00E95286">
      <w:pPr>
        <w:tabs>
          <w:tab w:val="left" w:pos="709"/>
        </w:tabs>
        <w:jc w:val="both"/>
        <w:rPr>
          <w:sz w:val="28"/>
          <w:szCs w:val="28"/>
        </w:rPr>
      </w:pPr>
    </w:p>
    <w:p w:rsidR="00E95286" w:rsidRDefault="00B728E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E95286" w:rsidRDefault="00E95286">
      <w:pPr>
        <w:tabs>
          <w:tab w:val="left" w:pos="709"/>
        </w:tabs>
        <w:rPr>
          <w:sz w:val="28"/>
          <w:szCs w:val="28"/>
        </w:rPr>
      </w:pPr>
    </w:p>
    <w:p w:rsidR="00E95286" w:rsidRDefault="00B728E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2pt;height: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3210" cy="19177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0" cy="1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5286" w:rsidRDefault="00E9528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2pt;height: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E95286" w:rsidRDefault="00B728E5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7020" cy="19558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60" cy="1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5286" w:rsidRDefault="00E9528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5pt;height:15.3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E9528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8E5" w:rsidRDefault="00B728E5">
      <w:r>
        <w:separator/>
      </w:r>
    </w:p>
  </w:endnote>
  <w:endnote w:type="continuationSeparator" w:id="0">
    <w:p w:rsidR="00B728E5" w:rsidRDefault="00B7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8E5" w:rsidRDefault="00B728E5">
      <w:r>
        <w:separator/>
      </w:r>
    </w:p>
  </w:footnote>
  <w:footnote w:type="continuationSeparator" w:id="0">
    <w:p w:rsidR="00B728E5" w:rsidRDefault="00B7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86" w:rsidRDefault="00E95286">
    <w:pPr>
      <w:pStyle w:val="af1"/>
      <w:jc w:val="center"/>
    </w:pPr>
  </w:p>
  <w:p w:rsidR="00E95286" w:rsidRDefault="00B728E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286" w:rsidRDefault="00E9528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253AC"/>
    <w:multiLevelType w:val="multilevel"/>
    <w:tmpl w:val="490843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36341F"/>
    <w:multiLevelType w:val="multilevel"/>
    <w:tmpl w:val="93C8EC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286"/>
    <w:rsid w:val="00B728E5"/>
    <w:rsid w:val="00E86B57"/>
    <w:rsid w:val="00E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2023-04-24T15:15:00Z</dcterms:created>
  <dcterms:modified xsi:type="dcterms:W3CDTF">2023-04-24T15:19:00Z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2023-04-13T09:10:23Z</cp:lastPrinted>
  <dcterms:modified xsi:type="dcterms:W3CDTF">2023-04-13T09:15:17Z</dcterms:modified>
  <cp:revision>166</cp:revision>
  <dc:subject/>
  <dc:title>ГЛАВА АДМИНИСТРАЦИИ РЯЗАНСКОЙ ОБЛАСТИ</dc:title>
</cp:coreProperties>
</file>