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A061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11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40</w:t>
      </w:r>
      <w:r>
        <w:rPr>
          <w:rFonts w:ascii="Times New Roman" w:hAnsi="Times New Roman"/>
          <w:color w:val="000000"/>
          <w:sz w:val="28"/>
          <w:szCs w:val="28"/>
        </w:rPr>
        <w:t>-пг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75404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7DD6E9B" wp14:editId="54E8EEF3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A0614">
          <w:headerReference w:type="even" r:id="rId9"/>
          <w:footerReference w:type="first" r:id="rId10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876034" w:rsidRPr="00007FF8">
        <w:tc>
          <w:tcPr>
            <w:tcW w:w="9571" w:type="dxa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E113F" w:rsidRPr="00007FF8" w:rsidRDefault="008E113F" w:rsidP="00007FF8">
            <w:pPr>
              <w:keepNext/>
              <w:ind w:right="856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07FF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Губернатора</w:t>
            </w:r>
          </w:p>
          <w:p w:rsidR="008E113F" w:rsidRPr="00007FF8" w:rsidRDefault="008E113F" w:rsidP="00007FF8">
            <w:pPr>
              <w:widowControl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25 июля 2018 г. № 112-пг «О создании </w:t>
            </w:r>
          </w:p>
          <w:p w:rsidR="008E113F" w:rsidRPr="00007FF8" w:rsidRDefault="008E113F" w:rsidP="00007FF8">
            <w:pPr>
              <w:widowControl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 xml:space="preserve">лицензионной комиссии Рязанской области для обеспечения </w:t>
            </w:r>
          </w:p>
          <w:p w:rsidR="00DB46BC" w:rsidRPr="00007FF8" w:rsidRDefault="008E113F" w:rsidP="00007FF8">
            <w:pPr>
              <w:widowControl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>деятельности органов государственного жилищного надзора</w:t>
            </w:r>
          </w:p>
          <w:p w:rsidR="008E113F" w:rsidRPr="00007FF8" w:rsidRDefault="00DB46BC" w:rsidP="00007FF8">
            <w:pPr>
              <w:widowControl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>п</w:t>
            </w:r>
            <w:r w:rsidR="008E113F" w:rsidRPr="00007FF8">
              <w:rPr>
                <w:rFonts w:ascii="Times New Roman" w:hAnsi="Times New Roman"/>
                <w:sz w:val="28"/>
                <w:szCs w:val="28"/>
              </w:rPr>
              <w:t xml:space="preserve">о лицензированию деятельности по управлению </w:t>
            </w:r>
          </w:p>
          <w:p w:rsidR="008E113F" w:rsidRPr="00007FF8" w:rsidRDefault="008E113F" w:rsidP="00007FF8">
            <w:pPr>
              <w:widowControl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>многоквартирными домами в Рязанской области»</w:t>
            </w:r>
          </w:p>
          <w:p w:rsidR="008E113F" w:rsidRPr="00007FF8" w:rsidRDefault="008E113F" w:rsidP="00007FF8">
            <w:pPr>
              <w:widowControl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7FF8">
              <w:rPr>
                <w:rFonts w:ascii="Times New Roman" w:hAnsi="Times New Roman"/>
                <w:sz w:val="28"/>
                <w:szCs w:val="28"/>
              </w:rPr>
              <w:t>(в редакции постановлений Губернатора Рязанской области</w:t>
            </w:r>
            <w:proofErr w:type="gramEnd"/>
          </w:p>
          <w:p w:rsidR="008E113F" w:rsidRPr="00007FF8" w:rsidRDefault="008E113F" w:rsidP="00007FF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 xml:space="preserve">от 21.05.2019 № 54-пг, от 25.06.2019 № 66-пг, </w:t>
            </w:r>
          </w:p>
          <w:p w:rsidR="00160EF9" w:rsidRPr="00007FF8" w:rsidRDefault="008E113F" w:rsidP="00E47BD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>от 25.11.2019 № 116-пг, от 12.07.2022 № 66-пг)</w:t>
            </w:r>
          </w:p>
        </w:tc>
      </w:tr>
      <w:tr w:rsidR="00876034" w:rsidRPr="00007FF8">
        <w:tc>
          <w:tcPr>
            <w:tcW w:w="9571" w:type="dxa"/>
            <w:gridSpan w:val="3"/>
          </w:tcPr>
          <w:p w:rsidR="008E113F" w:rsidRPr="00007FF8" w:rsidRDefault="008E113F" w:rsidP="00007FF8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8E113F" w:rsidRPr="00007FF8" w:rsidRDefault="008E113F" w:rsidP="00007FF8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>Внести в постановление Губернатора Рязанской области от 25 июля</w:t>
            </w:r>
            <w:r w:rsidR="00007FF8" w:rsidRPr="00007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7FF8">
              <w:rPr>
                <w:rFonts w:ascii="Times New Roman" w:hAnsi="Times New Roman"/>
                <w:sz w:val="28"/>
                <w:szCs w:val="28"/>
              </w:rPr>
              <w:t>2018 г. № 112-пг «О создании лицензионной комиссии Рязанской области для обеспечения деятельности органов государственного жилищного надзора</w:t>
            </w:r>
            <w:r w:rsidR="00007FF8" w:rsidRPr="00007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7FF8">
              <w:rPr>
                <w:rFonts w:ascii="Times New Roman" w:hAnsi="Times New Roman"/>
                <w:sz w:val="28"/>
                <w:szCs w:val="28"/>
              </w:rPr>
              <w:t>по лицензированию деятельности по управлению многоквартирными домами в Рязанской области» следующие изменения:</w:t>
            </w:r>
          </w:p>
          <w:p w:rsidR="008E113F" w:rsidRPr="00007FF8" w:rsidRDefault="008E113F" w:rsidP="00007FF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>1) пункт 3 изложить в следующей редакции:</w:t>
            </w:r>
          </w:p>
          <w:p w:rsidR="008E113F" w:rsidRPr="00007FF8" w:rsidRDefault="008E113F" w:rsidP="00007FF8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>«</w:t>
            </w:r>
            <w:r w:rsidR="00480308" w:rsidRPr="00007FF8">
              <w:rPr>
                <w:rFonts w:ascii="Times New Roman" w:hAnsi="Times New Roman"/>
                <w:sz w:val="28"/>
                <w:szCs w:val="28"/>
              </w:rPr>
              <w:t>3</w:t>
            </w:r>
            <w:r w:rsidRPr="00007FF8">
              <w:rPr>
                <w:rFonts w:ascii="Times New Roman" w:hAnsi="Times New Roman"/>
                <w:sz w:val="28"/>
                <w:szCs w:val="28"/>
              </w:rPr>
              <w:t>. Контроль за исполнением настоящего постановления возложить</w:t>
            </w:r>
            <w:r w:rsidR="00007FF8" w:rsidRPr="00007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7FF8">
              <w:rPr>
                <w:rFonts w:ascii="Times New Roman" w:hAnsi="Times New Roman"/>
                <w:sz w:val="28"/>
                <w:szCs w:val="28"/>
              </w:rPr>
              <w:t xml:space="preserve">на Вице-губернатора Рязанской области </w:t>
            </w:r>
            <w:r w:rsidR="00007FF8" w:rsidRPr="00007FF8">
              <w:rPr>
                <w:rFonts w:ascii="Times New Roman" w:hAnsi="Times New Roman"/>
                <w:sz w:val="28"/>
                <w:szCs w:val="28"/>
              </w:rPr>
              <w:t>–</w:t>
            </w:r>
            <w:r w:rsidRPr="00007FF8">
              <w:rPr>
                <w:rFonts w:ascii="Times New Roman" w:hAnsi="Times New Roman"/>
                <w:sz w:val="28"/>
                <w:szCs w:val="28"/>
              </w:rPr>
              <w:t xml:space="preserve"> первого </w:t>
            </w:r>
            <w:r w:rsidRPr="00007FF8">
              <w:rPr>
                <w:rFonts w:ascii="Times New Roman" w:hAnsi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proofErr w:type="gramStart"/>
            <w:r w:rsidRPr="00007FF8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8E113F" w:rsidRPr="00007FF8" w:rsidRDefault="008E113F" w:rsidP="00007FF8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>2)</w:t>
            </w:r>
            <w:r w:rsidR="00007FF8" w:rsidRPr="00007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7FF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1" w:tooltip="garantF1://36033832.1000" w:history="1">
              <w:r w:rsidRPr="00007FF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приложении № 1</w:t>
              </w:r>
            </w:hyperlink>
            <w:r w:rsidRPr="00007FF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E113F" w:rsidRPr="00007FF8" w:rsidRDefault="008E113F" w:rsidP="00007FF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 xml:space="preserve">включить </w:t>
            </w:r>
            <w:proofErr w:type="gramStart"/>
            <w:r w:rsidRPr="00007FF8">
              <w:rPr>
                <w:rFonts w:ascii="Times New Roman" w:hAnsi="Times New Roman"/>
                <w:sz w:val="28"/>
                <w:szCs w:val="28"/>
              </w:rPr>
              <w:t>в состав лицензионной комиссии Рязанской области для обеспечения деятельности органов государственного жилищного надзора</w:t>
            </w:r>
            <w:r w:rsidR="00007FF8" w:rsidRPr="00007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7FF8">
              <w:rPr>
                <w:rFonts w:ascii="Times New Roman" w:hAnsi="Times New Roman"/>
                <w:sz w:val="28"/>
                <w:szCs w:val="28"/>
              </w:rPr>
              <w:t>по лицензированию деятельности по управлению многоквартирными домами в Рязанской области</w:t>
            </w:r>
            <w:proofErr w:type="gramEnd"/>
            <w:r w:rsidR="00480308" w:rsidRPr="00007FF8">
              <w:rPr>
                <w:rFonts w:ascii="Times New Roman" w:hAnsi="Times New Roman"/>
                <w:sz w:val="28"/>
                <w:szCs w:val="28"/>
              </w:rPr>
              <w:t xml:space="preserve"> следующих лиц</w:t>
            </w:r>
            <w:r w:rsidRPr="00007FF8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Style w:val="a9"/>
              <w:tblW w:w="93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1"/>
              <w:gridCol w:w="289"/>
              <w:gridCol w:w="6978"/>
            </w:tblGrid>
            <w:tr w:rsidR="008E113F" w:rsidRPr="00007FF8" w:rsidTr="00007FF8">
              <w:tc>
                <w:tcPr>
                  <w:tcW w:w="2121" w:type="dxa"/>
                  <w:hideMark/>
                </w:tcPr>
                <w:p w:rsidR="008E113F" w:rsidRPr="00007FF8" w:rsidRDefault="00160EF9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Тарасюк</w:t>
                  </w:r>
                  <w:r w:rsidR="008E113F"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="008E113F" w:rsidRPr="00007FF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="008E113F" w:rsidRPr="00007FF8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89" w:type="dxa"/>
                  <w:hideMark/>
                </w:tcPr>
                <w:p w:rsidR="008E113F" w:rsidRPr="00007FF8" w:rsidRDefault="008E113F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978" w:type="dxa"/>
                  <w:hideMark/>
                </w:tcPr>
                <w:p w:rsidR="008E113F" w:rsidRPr="00007FF8" w:rsidRDefault="008E113F" w:rsidP="00007FF8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начальник государственной жилищной инспекции Рязанской области, председател</w:t>
                  </w:r>
                  <w:r w:rsidR="00480308" w:rsidRPr="00007FF8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комиссии</w:t>
                  </w:r>
                </w:p>
              </w:tc>
            </w:tr>
            <w:tr w:rsidR="00007FF8" w:rsidRPr="00007FF8" w:rsidTr="00007FF8">
              <w:trPr>
                <w:trHeight w:val="74"/>
              </w:trPr>
              <w:tc>
                <w:tcPr>
                  <w:tcW w:w="2121" w:type="dxa"/>
                </w:tcPr>
                <w:p w:rsidR="00007FF8" w:rsidRPr="00007FF8" w:rsidRDefault="00007FF8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07FF8" w:rsidRPr="00007FF8" w:rsidRDefault="00007FF8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07FF8" w:rsidRPr="00007FF8" w:rsidRDefault="00007FF8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07FF8" w:rsidRPr="00007FF8" w:rsidRDefault="00007FF8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07FF8" w:rsidRPr="00007FF8" w:rsidRDefault="00007FF8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" w:type="dxa"/>
                </w:tcPr>
                <w:p w:rsidR="00007FF8" w:rsidRPr="00007FF8" w:rsidRDefault="00007FF8" w:rsidP="00007FF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78" w:type="dxa"/>
                </w:tcPr>
                <w:p w:rsidR="00007FF8" w:rsidRPr="00007FF8" w:rsidRDefault="00007FF8" w:rsidP="00007FF8">
                  <w:pPr>
                    <w:spacing w:line="232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E113F" w:rsidRPr="00007FF8" w:rsidTr="00007FF8">
              <w:trPr>
                <w:trHeight w:val="425"/>
              </w:trPr>
              <w:tc>
                <w:tcPr>
                  <w:tcW w:w="2121" w:type="dxa"/>
                </w:tcPr>
                <w:p w:rsidR="008E113F" w:rsidRPr="00007FF8" w:rsidRDefault="008E113F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Науменко А.В.</w:t>
                  </w:r>
                </w:p>
                <w:p w:rsidR="008E113F" w:rsidRPr="00007FF8" w:rsidRDefault="008E113F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E113F" w:rsidRPr="00007FF8" w:rsidRDefault="008E113F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E113F" w:rsidRPr="00007FF8" w:rsidRDefault="008E113F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" w:type="dxa"/>
                </w:tcPr>
                <w:p w:rsidR="008E113F" w:rsidRPr="00007FF8" w:rsidRDefault="008E113F" w:rsidP="00007FF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978" w:type="dxa"/>
                  <w:hideMark/>
                </w:tcPr>
                <w:p w:rsidR="008E113F" w:rsidRPr="00007FF8" w:rsidRDefault="008E113F" w:rsidP="00F74BD2">
                  <w:pPr>
                    <w:spacing w:line="232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директор ООО «Р</w:t>
                  </w:r>
                  <w:r w:rsidR="00480308"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емонтно-строительное </w:t>
                  </w:r>
                  <w:r w:rsidR="00BA6921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="00480308" w:rsidRPr="00007FF8">
                    <w:rPr>
                      <w:rFonts w:ascii="Times New Roman" w:hAnsi="Times New Roman"/>
                      <w:sz w:val="28"/>
                      <w:szCs w:val="28"/>
                    </w:rPr>
                    <w:t>управление</w:t>
                  </w:r>
                  <w:r w:rsidR="00007FF8"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 w:rsidR="00007FF8" w:rsidRPr="00007FF8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2», представитель организации, являющейся членом Саморегулируемой организации «Ассоциация компаний, управляющих недвижимостью»</w:t>
                  </w:r>
                  <w:r w:rsidR="00007FF8"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(по согласованию)</w:t>
                  </w:r>
                </w:p>
              </w:tc>
            </w:tr>
            <w:tr w:rsidR="00007FF8" w:rsidRPr="00007FF8" w:rsidTr="00007FF8">
              <w:trPr>
                <w:trHeight w:val="74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7FF8" w:rsidRPr="00007FF8" w:rsidRDefault="00007FF8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7FF8" w:rsidRPr="00007FF8" w:rsidRDefault="00007FF8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7FF8" w:rsidRPr="00007FF8" w:rsidRDefault="00007FF8" w:rsidP="00007FF8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E113F" w:rsidRPr="00007FF8" w:rsidTr="00007FF8">
              <w:trPr>
                <w:trHeight w:val="773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E113F" w:rsidRPr="00007FF8" w:rsidRDefault="008E113F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Зеленков С.Н.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E113F" w:rsidRPr="00007FF8" w:rsidRDefault="008E113F" w:rsidP="008E113F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9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7FF8" w:rsidRPr="00007FF8" w:rsidRDefault="008E113F" w:rsidP="00007FF8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представитель Рязанской </w:t>
                  </w:r>
                  <w:r w:rsidR="00480308"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региональной </w:t>
                  </w: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общественной организации «Региональный центр общественного контроля в сфере ЖКХ Рязанской области»</w:t>
                  </w:r>
                  <w:r w:rsidR="00007FF8"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8E113F" w:rsidRPr="00007FF8" w:rsidRDefault="008E113F" w:rsidP="00007FF8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(по согласованию)</w:t>
                  </w:r>
                  <w:r w:rsidR="00007FF8" w:rsidRPr="00007FF8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</w:tc>
            </w:tr>
            <w:tr w:rsidR="008E113F" w:rsidRPr="00007FF8" w:rsidTr="00984EA3">
              <w:trPr>
                <w:trHeight w:val="318"/>
              </w:trPr>
              <w:tc>
                <w:tcPr>
                  <w:tcW w:w="9388" w:type="dxa"/>
                  <w:gridSpan w:val="3"/>
                  <w:hideMark/>
                </w:tcPr>
                <w:p w:rsidR="008E113F" w:rsidRPr="00007FF8" w:rsidRDefault="008E113F" w:rsidP="008E113F">
                  <w:pPr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исключив Соловьева Д.В., </w:t>
                  </w:r>
                  <w:proofErr w:type="spellStart"/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Давтяна</w:t>
                  </w:r>
                  <w:proofErr w:type="spellEnd"/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Р.А., Семину М.А.</w:t>
                  </w:r>
                  <w:r w:rsidR="00480308" w:rsidRPr="00007FF8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480308" w:rsidRPr="00007FF8" w:rsidRDefault="00480308" w:rsidP="00007FF8">
                  <w:pPr>
                    <w:widowControl w:val="0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3)</w:t>
                  </w:r>
                  <w:r w:rsidR="00007FF8"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в </w:t>
                  </w:r>
                  <w:hyperlink r:id="rId12" w:tooltip="garantF1://36033832.1000" w:history="1">
                    <w:r w:rsidRPr="00007FF8">
                      <w:rPr>
                        <w:rStyle w:val="ad"/>
                        <w:rFonts w:ascii="Times New Roman" w:hAnsi="Times New Roman"/>
                        <w:color w:val="auto"/>
                        <w:sz w:val="28"/>
                        <w:szCs w:val="28"/>
                        <w:u w:val="none"/>
                      </w:rPr>
                      <w:t>приложении № 2</w:t>
                    </w:r>
                  </w:hyperlink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:rsidR="00480308" w:rsidRPr="00007FF8" w:rsidRDefault="00246D59" w:rsidP="00007FF8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 w:rsidR="00480308" w:rsidRPr="00007FF8">
                    <w:rPr>
                      <w:rFonts w:ascii="Times New Roman" w:hAnsi="Times New Roman"/>
                      <w:sz w:val="28"/>
                      <w:szCs w:val="28"/>
                    </w:rPr>
                    <w:t>пункт 4 изложить в следующе</w:t>
                  </w:r>
                  <w:r w:rsidR="00022BF6" w:rsidRPr="00007FF8">
                    <w:rPr>
                      <w:rFonts w:ascii="Times New Roman" w:hAnsi="Times New Roman"/>
                      <w:sz w:val="28"/>
                      <w:szCs w:val="28"/>
                    </w:rPr>
                    <w:t>й редакции</w:t>
                  </w:r>
                  <w:r w:rsidR="00480308" w:rsidRPr="00007FF8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bookmarkStart w:id="1" w:name="sub_2014"/>
                </w:p>
                <w:p w:rsidR="00480308" w:rsidRPr="00007FF8" w:rsidRDefault="00480308" w:rsidP="00007FF8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«4. К </w:t>
                  </w:r>
                  <w:r w:rsidR="00022BF6" w:rsidRPr="00007FF8">
                    <w:rPr>
                      <w:rFonts w:ascii="Times New Roman" w:hAnsi="Times New Roman"/>
                      <w:sz w:val="28"/>
                      <w:szCs w:val="28"/>
                    </w:rPr>
                    <w:t>полномочиям Комиссии</w:t>
                  </w: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относятся:</w:t>
                  </w:r>
                </w:p>
                <w:bookmarkEnd w:id="1"/>
                <w:p w:rsidR="00480308" w:rsidRPr="00007FF8" w:rsidRDefault="00480308" w:rsidP="00007FF8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1) принятие решения о предоставлении лицензии</w:t>
                  </w:r>
                  <w:r w:rsidR="00246D59"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 осуществление предприниматель</w:t>
                  </w:r>
                  <w:r w:rsidR="00F91485" w:rsidRPr="00007FF8">
                    <w:rPr>
                      <w:rFonts w:ascii="Times New Roman" w:hAnsi="Times New Roman"/>
                      <w:sz w:val="28"/>
                      <w:szCs w:val="28"/>
                    </w:rPr>
                    <w:t>ской деятельности по управлению многоквартирными домами</w:t>
                  </w:r>
                  <w:r w:rsidR="008C6CEF"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(далее – лицензия) </w:t>
                  </w:r>
                  <w:r w:rsidR="00B972BB" w:rsidRPr="00007FF8">
                    <w:rPr>
                      <w:rFonts w:ascii="Times New Roman" w:hAnsi="Times New Roman"/>
                      <w:sz w:val="28"/>
                      <w:szCs w:val="28"/>
                    </w:rPr>
                    <w:t>или</w:t>
                  </w:r>
                  <w:r w:rsidR="008C6CEF"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 отказе в предоставлении лицензии;</w:t>
                  </w:r>
                  <w:r w:rsidR="00007FF8"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480308" w:rsidRPr="00007FF8" w:rsidRDefault="00480308" w:rsidP="00007FF8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2" w:name="sub_20142"/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2) принятие квалификационного экзамена;</w:t>
                  </w:r>
                </w:p>
                <w:bookmarkEnd w:id="2"/>
                <w:p w:rsidR="00480308" w:rsidRPr="00007FF8" w:rsidRDefault="00007FF8" w:rsidP="00007FF8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3) </w:t>
                  </w:r>
                  <w:r w:rsidR="00480308"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участие в организации регионального государственного лицензионного </w:t>
                  </w:r>
                  <w:proofErr w:type="gramStart"/>
                  <w:r w:rsidR="00480308" w:rsidRPr="00007FF8">
                    <w:rPr>
                      <w:rFonts w:ascii="Times New Roman" w:hAnsi="Times New Roman"/>
                      <w:sz w:val="28"/>
                      <w:szCs w:val="28"/>
                    </w:rPr>
                    <w:t>контроля за</w:t>
                  </w:r>
                  <w:proofErr w:type="gramEnd"/>
                  <w:r w:rsidR="00480308"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осуществлением предпринимательской деятельности по управлению многоквартирными домами;</w:t>
                  </w:r>
                </w:p>
                <w:p w:rsidR="00022BF6" w:rsidRPr="00007FF8" w:rsidRDefault="00007FF8" w:rsidP="00007FF8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3" w:name="sub_20144"/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>4) </w:t>
                  </w:r>
                  <w:r w:rsidR="00480308" w:rsidRPr="00007FF8"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 об обращении в суд с заявлением</w:t>
                  </w: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80308" w:rsidRPr="00007FF8">
                    <w:rPr>
                      <w:rFonts w:ascii="Times New Roman" w:hAnsi="Times New Roman"/>
                      <w:sz w:val="28"/>
                      <w:szCs w:val="28"/>
                    </w:rPr>
                    <w:t>об аннулировании лицензии</w:t>
                  </w:r>
                  <w:proofErr w:type="gramStart"/>
                  <w:r w:rsidR="00277A90" w:rsidRPr="00007FF8">
                    <w:rPr>
                      <w:rFonts w:ascii="Times New Roman" w:hAnsi="Times New Roman"/>
                      <w:sz w:val="28"/>
                      <w:szCs w:val="28"/>
                    </w:rPr>
                    <w:t>.»</w:t>
                  </w:r>
                  <w:r w:rsidR="00022BF6" w:rsidRPr="00007FF8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  <w:proofErr w:type="gramEnd"/>
                </w:p>
                <w:p w:rsidR="00DB46BC" w:rsidRPr="00007FF8" w:rsidRDefault="00246D59" w:rsidP="00007FF8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 w:rsidR="00DB46BC" w:rsidRPr="00007FF8">
                    <w:rPr>
                      <w:rFonts w:ascii="Times New Roman" w:hAnsi="Times New Roman"/>
                      <w:sz w:val="28"/>
                      <w:szCs w:val="28"/>
                    </w:rPr>
                    <w:t>подпункт 3 пункта 5 признать утратившим силу;</w:t>
                  </w:r>
                </w:p>
                <w:p w:rsidR="00022BF6" w:rsidRPr="00007FF8" w:rsidRDefault="00246D59" w:rsidP="00007FF8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 w:rsidR="00022BF6" w:rsidRPr="00007FF8">
                    <w:rPr>
                      <w:rFonts w:ascii="Times New Roman" w:hAnsi="Times New Roman"/>
                      <w:sz w:val="28"/>
                      <w:szCs w:val="28"/>
                    </w:rPr>
                    <w:t>подпункт 2 пункта 7 изложить в следующей редакции:</w:t>
                  </w:r>
                </w:p>
                <w:p w:rsidR="00DB46BC" w:rsidRPr="00007FF8" w:rsidRDefault="00022BF6" w:rsidP="00007FF8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«2) </w:t>
                  </w:r>
                  <w:bookmarkStart w:id="4" w:name="sub_25"/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общественных объединений, иных некоммерческих организаций, </w:t>
                  </w:r>
                  <w:r w:rsidRPr="00007FF8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указанных в </w:t>
                  </w:r>
                  <w:hyperlink r:id="rId13" w:history="1">
                    <w:r w:rsidRPr="00007FF8">
                      <w:rPr>
                        <w:rStyle w:val="ae"/>
                        <w:rFonts w:ascii="Times New Roman" w:hAnsi="Times New Roman"/>
                        <w:color w:val="auto"/>
                        <w:spacing w:val="-4"/>
                        <w:sz w:val="28"/>
                        <w:szCs w:val="28"/>
                      </w:rPr>
                      <w:t>части 19 статьи 20</w:t>
                    </w:r>
                  </w:hyperlink>
                  <w:r w:rsidRPr="00007FF8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Жилищного кодекса Российской Федерации</w:t>
                  </w:r>
                  <w:r w:rsidR="00007FF8" w:rsidRPr="00007FF8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–</w:t>
                  </w:r>
                  <w:r w:rsidRPr="00007FF8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2</w:t>
                  </w: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 человека</w:t>
                  </w:r>
                  <w:proofErr w:type="gramStart"/>
                  <w:r w:rsidR="00246D59" w:rsidRPr="00007FF8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  <w:r w:rsidR="00984EA3" w:rsidRPr="00007FF8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proofErr w:type="gramEnd"/>
                  <w:r w:rsidR="00DB46BC" w:rsidRPr="00007FF8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022BF6" w:rsidRPr="00007FF8" w:rsidRDefault="00246D59" w:rsidP="00007FF8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07FF8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 w:rsidR="00DB46BC" w:rsidRPr="00007FF8">
                    <w:rPr>
                      <w:rFonts w:ascii="Times New Roman" w:hAnsi="Times New Roman"/>
                      <w:sz w:val="28"/>
                      <w:szCs w:val="28"/>
                    </w:rPr>
                    <w:t>пункт 34 признать утратившим силу.</w:t>
                  </w:r>
                </w:p>
                <w:bookmarkEnd w:id="3"/>
                <w:bookmarkEnd w:id="4"/>
                <w:p w:rsidR="00480308" w:rsidRPr="00007FF8" w:rsidRDefault="00480308" w:rsidP="00007FF8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80308" w:rsidRPr="00007FF8" w:rsidRDefault="00480308" w:rsidP="008E113F">
                  <w:pPr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A237FA" w:rsidRPr="00007FF8" w:rsidRDefault="00A237FA" w:rsidP="00A237F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6034" w:rsidRPr="00007FF8" w:rsidTr="00754048">
        <w:trPr>
          <w:trHeight w:val="309"/>
        </w:trPr>
        <w:tc>
          <w:tcPr>
            <w:tcW w:w="5353" w:type="dxa"/>
          </w:tcPr>
          <w:p w:rsidR="004E3683" w:rsidRPr="00007FF8" w:rsidRDefault="004E3683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007FF8" w:rsidRDefault="00876034" w:rsidP="00023030">
            <w:pPr>
              <w:rPr>
                <w:rFonts w:ascii="Times New Roman" w:hAnsi="Times New Roman"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728" w:type="dxa"/>
          </w:tcPr>
          <w:p w:rsidR="00876034" w:rsidRPr="00007FF8" w:rsidRDefault="00876034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E3683" w:rsidRPr="00007FF8" w:rsidRDefault="004E3683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007FF8" w:rsidRDefault="00754048" w:rsidP="0002303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07FF8">
              <w:rPr>
                <w:rFonts w:ascii="Times New Roman" w:hAnsi="Times New Roman"/>
                <w:sz w:val="28"/>
                <w:szCs w:val="28"/>
              </w:rPr>
              <w:t>П</w:t>
            </w:r>
            <w:r w:rsidR="000A25FC" w:rsidRPr="00007FF8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007FF8">
              <w:rPr>
                <w:rFonts w:ascii="Times New Roman" w:hAnsi="Times New Roman"/>
                <w:sz w:val="28"/>
                <w:szCs w:val="28"/>
              </w:rPr>
              <w:t>Малко</w:t>
            </w:r>
            <w:r w:rsidR="000A25FC" w:rsidRPr="00007FF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99530C" w:rsidRDefault="00460FEA" w:rsidP="0099530C">
      <w:pPr>
        <w:spacing w:line="192" w:lineRule="auto"/>
        <w:jc w:val="both"/>
        <w:rPr>
          <w:sz w:val="28"/>
          <w:szCs w:val="28"/>
        </w:rPr>
      </w:pPr>
    </w:p>
    <w:sectPr w:rsidR="00460FEA" w:rsidRPr="0099530C" w:rsidSect="0075099D">
      <w:headerReference w:type="default" r:id="rId1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E5A" w:rsidRDefault="00CC3E5A">
      <w:r>
        <w:separator/>
      </w:r>
    </w:p>
  </w:endnote>
  <w:endnote w:type="continuationSeparator" w:id="0">
    <w:p w:rsidR="00CC3E5A" w:rsidRDefault="00CC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E5A" w:rsidRDefault="00CC3E5A">
      <w:r>
        <w:separator/>
      </w:r>
    </w:p>
  </w:footnote>
  <w:footnote w:type="continuationSeparator" w:id="0">
    <w:p w:rsidR="00CC3E5A" w:rsidRDefault="00CC3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237FA">
    <w:pPr>
      <w:pStyle w:val="a5"/>
      <w:framePr w:w="25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F3B4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5pt;height:11.8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n9fwhXO45WQykaDh1IGfm4dU5Q=" w:salt="NKnPySdI79HuuE2G2CBUn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7"/>
    <w:rsid w:val="00007FF8"/>
    <w:rsid w:val="0001360F"/>
    <w:rsid w:val="00022BF6"/>
    <w:rsid w:val="00023030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0614"/>
    <w:rsid w:val="000A25FC"/>
    <w:rsid w:val="000A540D"/>
    <w:rsid w:val="000A691F"/>
    <w:rsid w:val="000B0736"/>
    <w:rsid w:val="00122CFD"/>
    <w:rsid w:val="00151370"/>
    <w:rsid w:val="00156B5F"/>
    <w:rsid w:val="00160EF9"/>
    <w:rsid w:val="00162E72"/>
    <w:rsid w:val="00175BE5"/>
    <w:rsid w:val="001850F4"/>
    <w:rsid w:val="00190426"/>
    <w:rsid w:val="001947BE"/>
    <w:rsid w:val="0019683F"/>
    <w:rsid w:val="001A560F"/>
    <w:rsid w:val="001B0982"/>
    <w:rsid w:val="001B32BA"/>
    <w:rsid w:val="001C1D68"/>
    <w:rsid w:val="001E0317"/>
    <w:rsid w:val="001E20F1"/>
    <w:rsid w:val="001F12E8"/>
    <w:rsid w:val="001F228C"/>
    <w:rsid w:val="001F64B8"/>
    <w:rsid w:val="001F7C83"/>
    <w:rsid w:val="00203046"/>
    <w:rsid w:val="00224DBA"/>
    <w:rsid w:val="00231F1C"/>
    <w:rsid w:val="00242DDB"/>
    <w:rsid w:val="00246D59"/>
    <w:rsid w:val="002479A2"/>
    <w:rsid w:val="0026087E"/>
    <w:rsid w:val="00265420"/>
    <w:rsid w:val="00274E14"/>
    <w:rsid w:val="00277A90"/>
    <w:rsid w:val="00280A6D"/>
    <w:rsid w:val="002953B6"/>
    <w:rsid w:val="002B7A59"/>
    <w:rsid w:val="002C6B4B"/>
    <w:rsid w:val="002F1E81"/>
    <w:rsid w:val="002F6C52"/>
    <w:rsid w:val="00310D92"/>
    <w:rsid w:val="00315FAB"/>
    <w:rsid w:val="003160CB"/>
    <w:rsid w:val="003222A3"/>
    <w:rsid w:val="00360A40"/>
    <w:rsid w:val="00367249"/>
    <w:rsid w:val="003870C2"/>
    <w:rsid w:val="003D3B8A"/>
    <w:rsid w:val="003D54F8"/>
    <w:rsid w:val="003F3380"/>
    <w:rsid w:val="003F4F5E"/>
    <w:rsid w:val="00400906"/>
    <w:rsid w:val="0040776B"/>
    <w:rsid w:val="00415CEA"/>
    <w:rsid w:val="0042590E"/>
    <w:rsid w:val="00427FD2"/>
    <w:rsid w:val="00437F65"/>
    <w:rsid w:val="00460FEA"/>
    <w:rsid w:val="00466AF5"/>
    <w:rsid w:val="004734B7"/>
    <w:rsid w:val="00480308"/>
    <w:rsid w:val="00481B88"/>
    <w:rsid w:val="00485B4F"/>
    <w:rsid w:val="004862D1"/>
    <w:rsid w:val="004B2D5A"/>
    <w:rsid w:val="004D211F"/>
    <w:rsid w:val="004D293D"/>
    <w:rsid w:val="004D3161"/>
    <w:rsid w:val="004E36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3B4D"/>
    <w:rsid w:val="0060021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099D"/>
    <w:rsid w:val="00754048"/>
    <w:rsid w:val="00760323"/>
    <w:rsid w:val="00765600"/>
    <w:rsid w:val="00791C9F"/>
    <w:rsid w:val="00792AAB"/>
    <w:rsid w:val="00793B47"/>
    <w:rsid w:val="007A1D0C"/>
    <w:rsid w:val="007A2A7B"/>
    <w:rsid w:val="007A3529"/>
    <w:rsid w:val="007A7FFE"/>
    <w:rsid w:val="007D4925"/>
    <w:rsid w:val="007F0C8A"/>
    <w:rsid w:val="007F11AB"/>
    <w:rsid w:val="008143CB"/>
    <w:rsid w:val="00823CA1"/>
    <w:rsid w:val="00840A5C"/>
    <w:rsid w:val="008513B9"/>
    <w:rsid w:val="008702D3"/>
    <w:rsid w:val="00876034"/>
    <w:rsid w:val="008827E7"/>
    <w:rsid w:val="008A1696"/>
    <w:rsid w:val="008C58FE"/>
    <w:rsid w:val="008C6CEF"/>
    <w:rsid w:val="008E113F"/>
    <w:rsid w:val="008E6C41"/>
    <w:rsid w:val="008F0816"/>
    <w:rsid w:val="008F6BB7"/>
    <w:rsid w:val="00900F42"/>
    <w:rsid w:val="00932E3C"/>
    <w:rsid w:val="009573D3"/>
    <w:rsid w:val="00967D4A"/>
    <w:rsid w:val="00984EA3"/>
    <w:rsid w:val="0099530C"/>
    <w:rsid w:val="009977FF"/>
    <w:rsid w:val="009A085B"/>
    <w:rsid w:val="009C1DE6"/>
    <w:rsid w:val="009C1F0E"/>
    <w:rsid w:val="009D2986"/>
    <w:rsid w:val="009D3E8C"/>
    <w:rsid w:val="009E3A0E"/>
    <w:rsid w:val="009F230A"/>
    <w:rsid w:val="00A1314B"/>
    <w:rsid w:val="00A13160"/>
    <w:rsid w:val="00A137D3"/>
    <w:rsid w:val="00A237FA"/>
    <w:rsid w:val="00A42B00"/>
    <w:rsid w:val="00A44A8F"/>
    <w:rsid w:val="00A51D96"/>
    <w:rsid w:val="00A52511"/>
    <w:rsid w:val="00A564A7"/>
    <w:rsid w:val="00A6712D"/>
    <w:rsid w:val="00A96F84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2BB"/>
    <w:rsid w:val="00BA6921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3E5A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1AB7"/>
    <w:rsid w:val="00D95E55"/>
    <w:rsid w:val="00DB3664"/>
    <w:rsid w:val="00DB46BC"/>
    <w:rsid w:val="00DC003A"/>
    <w:rsid w:val="00DC16FB"/>
    <w:rsid w:val="00DC4A65"/>
    <w:rsid w:val="00DC4F66"/>
    <w:rsid w:val="00E10B44"/>
    <w:rsid w:val="00E11F02"/>
    <w:rsid w:val="00E2726B"/>
    <w:rsid w:val="00E37801"/>
    <w:rsid w:val="00E46EAA"/>
    <w:rsid w:val="00E47BD1"/>
    <w:rsid w:val="00E5038C"/>
    <w:rsid w:val="00E50B69"/>
    <w:rsid w:val="00E5298B"/>
    <w:rsid w:val="00E56EFB"/>
    <w:rsid w:val="00E579D4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74BD2"/>
    <w:rsid w:val="00F9148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580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d">
    <w:name w:val="Hyperlink"/>
    <w:basedOn w:val="a0"/>
    <w:uiPriority w:val="99"/>
    <w:semiHidden/>
    <w:unhideWhenUsed/>
    <w:rsid w:val="008E113F"/>
    <w:rPr>
      <w:color w:val="0000FF"/>
      <w:u w:val="single"/>
    </w:rPr>
  </w:style>
  <w:style w:type="character" w:customStyle="1" w:styleId="ae">
    <w:name w:val="Гипертекстовая ссылка"/>
    <w:basedOn w:val="a0"/>
    <w:uiPriority w:val="99"/>
    <w:rsid w:val="00022BF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d">
    <w:name w:val="Hyperlink"/>
    <w:basedOn w:val="a0"/>
    <w:uiPriority w:val="99"/>
    <w:semiHidden/>
    <w:unhideWhenUsed/>
    <w:rsid w:val="008E113F"/>
    <w:rPr>
      <w:color w:val="0000FF"/>
      <w:u w:val="single"/>
    </w:rPr>
  </w:style>
  <w:style w:type="character" w:customStyle="1" w:styleId="ae">
    <w:name w:val="Гипертекстовая ссылка"/>
    <w:basedOn w:val="a0"/>
    <w:uiPriority w:val="99"/>
    <w:rsid w:val="00022BF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nternet.garant.ru/document/redirect/12138291/28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36033832.1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36033832.1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Лёксина М.А.</dc:creator>
  <cp:lastModifiedBy>Дягилева М.А.</cp:lastModifiedBy>
  <cp:revision>23</cp:revision>
  <cp:lastPrinted>2023-04-11T07:34:00Z</cp:lastPrinted>
  <dcterms:created xsi:type="dcterms:W3CDTF">2023-02-09T14:54:00Z</dcterms:created>
  <dcterms:modified xsi:type="dcterms:W3CDTF">2023-04-11T13:45:00Z</dcterms:modified>
</cp:coreProperties>
</file>