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4FC8" w:rsidRDefault="00004A5D">
      <w:pPr>
        <w:keepNext/>
        <w:spacing w:before="0" w:after="0"/>
        <w:ind w:left="5670"/>
        <w:jc w:val="left"/>
      </w:pPr>
      <w:r>
        <w:t xml:space="preserve">Утвержден </w:t>
      </w:r>
    </w:p>
    <w:p w:rsidR="00DF4FC8" w:rsidRDefault="00004A5D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DF4FC8" w:rsidRDefault="00004A5D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DF4FC8" w:rsidRDefault="00004A5D">
      <w:pPr>
        <w:keepNext/>
        <w:spacing w:before="0" w:after="0"/>
        <w:ind w:left="5670"/>
        <w:jc w:val="left"/>
      </w:pPr>
      <w:r>
        <w:t>Рязанской области</w:t>
      </w:r>
    </w:p>
    <w:p w:rsidR="00DF4FC8" w:rsidRDefault="00A4591F">
      <w:pPr>
        <w:keepNext/>
        <w:tabs>
          <w:tab w:val="left" w:pos="5100"/>
        </w:tabs>
        <w:spacing w:before="0" w:after="0"/>
        <w:ind w:left="5670"/>
        <w:jc w:val="left"/>
      </w:pPr>
      <w:r>
        <w:t>от 26 апреля 2023 г.</w:t>
      </w:r>
      <w:r w:rsidR="00004A5D">
        <w:t xml:space="preserve"> №</w:t>
      </w:r>
      <w:r>
        <w:t xml:space="preserve"> 186-п</w:t>
      </w:r>
      <w:bookmarkStart w:id="0" w:name="_GoBack"/>
      <w:bookmarkEnd w:id="0"/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004A5D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DF4FC8" w:rsidRDefault="00004A5D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Шелемишевское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DF4FC8" w:rsidRDefault="00004A5D">
      <w:pPr>
        <w:pStyle w:val="a7"/>
        <w:spacing w:after="6"/>
        <w:ind w:firstLine="0"/>
        <w:jc w:val="center"/>
      </w:pPr>
      <w:proofErr w:type="spellStart"/>
      <w:r>
        <w:rPr>
          <w:sz w:val="32"/>
          <w:szCs w:val="32"/>
        </w:rPr>
        <w:t>Скопинского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DF4FC8" w:rsidRDefault="00004A5D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004A5D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DF4FC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4FC8" w:rsidRDefault="00004A5D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DF4FC8" w:rsidRDefault="00DF4FC8">
      <w:pPr>
        <w:pStyle w:val="a7"/>
        <w:rPr>
          <w:szCs w:val="28"/>
        </w:rPr>
      </w:pPr>
    </w:p>
    <w:p w:rsidR="00DF4FC8" w:rsidRDefault="00004A5D">
      <w:pPr>
        <w:pStyle w:val="a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Шелемишевское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Скопинского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DF4FC8" w:rsidRDefault="00DF4FC8">
      <w:pPr>
        <w:pStyle w:val="a7"/>
        <w:rPr>
          <w:color w:val="auto"/>
        </w:rPr>
      </w:pPr>
    </w:p>
    <w:p w:rsidR="00DF4FC8" w:rsidRDefault="00004A5D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DF4FC8" w:rsidRDefault="00DF4FC8">
      <w:pPr>
        <w:pStyle w:val="a7"/>
        <w:rPr>
          <w:color w:val="auto"/>
          <w:szCs w:val="28"/>
        </w:rPr>
      </w:pPr>
    </w:p>
    <w:p w:rsidR="00DF4FC8" w:rsidRDefault="00004A5D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DF4FC8" w:rsidRDefault="00004A5D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DF4FC8" w:rsidRDefault="00004A5D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>Шелемишевское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Скопинского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DF4FC8" w:rsidRDefault="00DF4FC8">
      <w:pPr>
        <w:pStyle w:val="a7"/>
        <w:rPr>
          <w:color w:val="auto"/>
        </w:rPr>
      </w:pPr>
    </w:p>
    <w:p w:rsidR="00DF4FC8" w:rsidRDefault="00004A5D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DF4FC8" w:rsidRDefault="00DF4FC8">
      <w:pPr>
        <w:pStyle w:val="a7"/>
        <w:rPr>
          <w:color w:val="auto"/>
        </w:rPr>
      </w:pPr>
    </w:p>
    <w:p w:rsidR="00DF4FC8" w:rsidRDefault="00004A5D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Шелемишевское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Скопинского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DF4FC8" w:rsidRDefault="00004A5D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DF4FC8" w:rsidRDefault="00004A5D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DF4FC8" w:rsidRDefault="00004A5D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DF4FC8" w:rsidRDefault="00004A5D">
      <w:pPr>
        <w:pStyle w:val="a7"/>
        <w:rPr>
          <w:szCs w:val="28"/>
        </w:rPr>
      </w:pPr>
      <w: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</w:t>
      </w:r>
      <w:r>
        <w:lastRenderedPageBreak/>
        <w:t>частям населенного пункта, локализация центра с учетом исторически сложившегося характера использования территории;</w:t>
      </w:r>
    </w:p>
    <w:p w:rsidR="00DF4FC8" w:rsidRDefault="00004A5D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DF4FC8" w:rsidRDefault="00004A5D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DF4FC8" w:rsidRDefault="00004A5D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Шелемишевское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Скопинского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DF4FC8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t>Обозначение</w:t>
            </w:r>
          </w:p>
          <w:p w:rsidR="00DF4FC8" w:rsidRDefault="00004A5D">
            <w:pPr>
              <w:pStyle w:val="ae"/>
              <w:widowControl w:val="0"/>
            </w:pPr>
            <w:r>
              <w:t>функциональной</w:t>
            </w:r>
          </w:p>
          <w:p w:rsidR="00DF4FC8" w:rsidRDefault="00004A5D">
            <w:pPr>
              <w:pStyle w:val="ae"/>
              <w:widowControl w:val="0"/>
            </w:pPr>
            <w: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t>Наименование</w:t>
            </w:r>
          </w:p>
          <w:p w:rsidR="00DF4FC8" w:rsidRDefault="00004A5D">
            <w:pPr>
              <w:pStyle w:val="ae"/>
              <w:widowControl w:val="0"/>
            </w:pPr>
            <w:r>
              <w:t>функциональной зоны</w:t>
            </w:r>
          </w:p>
        </w:tc>
      </w:tr>
      <w:tr w:rsidR="00DF4FC8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DF4FC8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DF4FC8">
            <w:pPr>
              <w:widowControl w:val="0"/>
              <w:snapToGrid w:val="0"/>
            </w:pPr>
          </w:p>
        </w:tc>
      </w:tr>
      <w:tr w:rsidR="00DF4FC8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43180</wp:posOffset>
                      </wp:positionV>
                      <wp:extent cx="681355" cy="307975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1pt;margin-top:3.4pt;width:53.55pt;height:24.15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56515</wp:posOffset>
                      </wp:positionV>
                      <wp:extent cx="681355" cy="307975"/>
                      <wp:effectExtent l="0" t="0" r="0" b="0"/>
                      <wp:wrapNone/>
                      <wp:docPr id="3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1" fillcolor="#a427a8" stroked="t" style="position:absolute;margin-left:31.05pt;margin-top:4.45pt;width:53.55pt;height:24.15pt;mso-wrap-style:none;v-text-anchor:middle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50165</wp:posOffset>
                      </wp:positionV>
                      <wp:extent cx="681355" cy="307975"/>
                      <wp:effectExtent l="0" t="0" r="0" b="0"/>
                      <wp:wrapNone/>
                      <wp:docPr id="5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0.6pt;margin-top:3.95pt;width:53.55pt;height:24.15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59055</wp:posOffset>
                      </wp:positionV>
                      <wp:extent cx="681355" cy="307975"/>
                      <wp:effectExtent l="0" t="0" r="0" b="0"/>
                      <wp:wrapNone/>
                      <wp:docPr id="7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t" style="position:absolute;margin-left:31.05pt;margin-top:4.65pt;width:53.55pt;height:24.15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60960</wp:posOffset>
                      </wp:positionV>
                      <wp:extent cx="679450" cy="308610"/>
                      <wp:effectExtent l="0" t="0" r="0" b="0"/>
                      <wp:wrapNone/>
                      <wp:docPr id="9" name="Врезка8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96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1" fillcolor="#bd9684" stroked="t" style="position:absolute;margin-left:30.6pt;margin-top:4.8pt;width:53.4pt;height:24.2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59055</wp:posOffset>
                      </wp:positionV>
                      <wp:extent cx="681355" cy="307975"/>
                      <wp:effectExtent l="0" t="0" r="0" b="0"/>
                      <wp:wrapNone/>
                      <wp:docPr id="11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1.35pt;margin-top:4.65pt;width:53.55pt;height:24.15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681355" cy="307975"/>
                      <wp:effectExtent l="0" t="0" r="0" b="0"/>
                      <wp:wrapNone/>
                      <wp:docPr id="13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1.65pt;margin-top:4.1pt;width:53.55pt;height:24.15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50165</wp:posOffset>
                      </wp:positionV>
                      <wp:extent cx="675640" cy="302260"/>
                      <wp:effectExtent l="0" t="0" r="0" b="0"/>
                      <wp:wrapNone/>
                      <wp:docPr id="15" name="Врезк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00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0" fillcolor="#aaff00" stroked="t" style="position:absolute;margin-left:32.05pt;margin-top:3.95pt;width:53.1pt;height:23.7pt;mso-wrap-style:none;v-text-anchor:middle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43180</wp:posOffset>
                      </wp:positionV>
                      <wp:extent cx="681355" cy="307975"/>
                      <wp:effectExtent l="0" t="0" r="0" b="0"/>
                      <wp:wrapNone/>
                      <wp:docPr id="17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2.1pt;margin-top:3.4pt;width:53.55pt;height:24.15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57150</wp:posOffset>
                      </wp:positionV>
                      <wp:extent cx="681355" cy="307975"/>
                      <wp:effectExtent l="0" t="0" r="0" b="0"/>
                      <wp:wrapNone/>
                      <wp:docPr id="1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2.15pt;margin-top:4.5pt;width:53.55pt;height:24.15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43815</wp:posOffset>
                      </wp:positionV>
                      <wp:extent cx="681355" cy="306705"/>
                      <wp:effectExtent l="0" t="0" r="0" b="0"/>
                      <wp:wrapNone/>
                      <wp:docPr id="21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2.4pt;margin-top:3.45pt;width:53.55pt;height:24.05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52070</wp:posOffset>
                      </wp:positionV>
                      <wp:extent cx="675005" cy="300355"/>
                      <wp:effectExtent l="0" t="0" r="0" b="0"/>
                      <wp:wrapNone/>
                      <wp:docPr id="23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280" cy="29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fillcolor="#69b366" stroked="t" style="position:absolute;margin-left:32.85pt;margin-top:4.1pt;width:53.05pt;height:23.5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20725" cy="353060"/>
                      <wp:effectExtent l="0" t="0" r="0" b="0"/>
                      <wp:wrapNone/>
                      <wp:docPr id="25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352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6.65pt;height:27.7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7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DF4FC8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47625</wp:posOffset>
                      </wp:positionV>
                      <wp:extent cx="681355" cy="306705"/>
                      <wp:effectExtent l="0" t="0" r="0" b="0"/>
                      <wp:wrapNone/>
                      <wp:docPr id="28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4FC8" w:rsidRDefault="00DF4FC8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d0d0ff" stroked="t" style="position:absolute;margin-left:31.75pt;margin-top:3.75pt;width:53.55pt;height:24.05pt;mso-wrap-style:none;v-text-anchor:middle">
                      <v:fill o:detectmouseclick="t" type="solid" color2="#2f2f00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режимных территорий</w:t>
            </w:r>
          </w:p>
        </w:tc>
      </w:tr>
    </w:tbl>
    <w:p w:rsidR="00DF4FC8" w:rsidRDefault="00004A5D">
      <w:pPr>
        <w:pStyle w:val="a7"/>
      </w:pPr>
      <w:r>
        <w:lastRenderedPageBreak/>
        <w:t>Границы функциональных зон отображены на карте функциональных зон поселения.</w:t>
      </w:r>
    </w:p>
    <w:p w:rsidR="00AA4FEA" w:rsidRDefault="00AA4FEA">
      <w:pPr>
        <w:pStyle w:val="a7"/>
        <w:rPr>
          <w:rFonts w:eastAsia="XO Thames;Times New Roman"/>
          <w:szCs w:val="28"/>
        </w:rPr>
      </w:pPr>
    </w:p>
    <w:p w:rsidR="00DF4FC8" w:rsidRDefault="00004A5D">
      <w:pPr>
        <w:pStyle w:val="a7"/>
      </w:pPr>
      <w:r>
        <w:rPr>
          <w:rFonts w:eastAsia="XO Thames;Times New Roman"/>
          <w:szCs w:val="28"/>
        </w:rPr>
        <w:t>Жилые зоны.</w:t>
      </w:r>
    </w:p>
    <w:p w:rsidR="00DF4FC8" w:rsidRDefault="00004A5D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rPr>
          <w:rFonts w:eastAsia="XO Thames;Times New Roman"/>
          <w:szCs w:val="28"/>
        </w:rPr>
        <w:t>Жилые зоны предназначены</w:t>
      </w:r>
      <w:r>
        <w:rPr>
          <w:rFonts w:eastAsia="XO Thames;Times New Roman"/>
          <w:szCs w:val="28"/>
          <w:lang w:eastAsia="ar-SA"/>
        </w:rPr>
        <w:t xml:space="preserve"> для размещения жилых домов различной этажности, а также отдельно стоящих, встроенных или пристроенных объектов социального и коммунально-бытового назначения, объектов общественно-делового назначения, обеспечивающих потребности жителей.</w:t>
      </w:r>
    </w:p>
    <w:p w:rsidR="00DF4FC8" w:rsidRDefault="00DF4FC8">
      <w:pPr>
        <w:pStyle w:val="a7"/>
        <w:rPr>
          <w:color w:val="auto"/>
          <w:szCs w:val="28"/>
        </w:rPr>
      </w:pPr>
    </w:p>
    <w:p w:rsidR="00DF4FC8" w:rsidRDefault="00004A5D">
      <w:pPr>
        <w:pStyle w:val="a7"/>
        <w:rPr>
          <w:color w:val="auto"/>
        </w:rPr>
      </w:pPr>
      <w:r>
        <w:rPr>
          <w:rFonts w:eastAsia="XO Thames;Times New Roman"/>
          <w:iCs/>
          <w:szCs w:val="28"/>
          <w:lang w:eastAsia="ru-RU"/>
        </w:rPr>
        <w:t>Многофункциональная общественно-деловая зона.</w:t>
      </w:r>
    </w:p>
    <w:p w:rsidR="00DF4FC8" w:rsidRDefault="00004A5D">
      <w:pPr>
        <w:pStyle w:val="a7"/>
        <w:rPr>
          <w:color w:val="auto"/>
        </w:rPr>
      </w:pPr>
      <w:r>
        <w:rPr>
          <w:rFonts w:eastAsia="XO Thames;Times New Roman"/>
          <w:iCs/>
          <w:szCs w:val="28"/>
          <w:lang w:eastAsia="ru-RU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/>
          <w:iCs/>
          <w:szCs w:val="28"/>
          <w:lang w:eastAsia="ru-RU"/>
        </w:rPr>
        <w:t>торговли и общественного питания, гостиниц.</w:t>
      </w:r>
    </w:p>
    <w:p w:rsidR="00DF4FC8" w:rsidRDefault="00DF4FC8">
      <w:pPr>
        <w:pStyle w:val="a7"/>
        <w:rPr>
          <w:color w:val="auto"/>
          <w:szCs w:val="28"/>
        </w:rPr>
      </w:pPr>
    </w:p>
    <w:p w:rsidR="00DF4FC8" w:rsidRDefault="00004A5D">
      <w:pPr>
        <w:pStyle w:val="a7"/>
      </w:pPr>
      <w:r>
        <w:rPr>
          <w:rStyle w:val="20"/>
          <w:szCs w:val="28"/>
          <w:lang w:eastAsia="ar-SA"/>
        </w:rPr>
        <w:t>Зона специализированной общественной застройки.</w:t>
      </w:r>
    </w:p>
    <w:p w:rsidR="00DF4FC8" w:rsidRDefault="00004A5D">
      <w:pPr>
        <w:pStyle w:val="a7"/>
      </w:pPr>
      <w:r>
        <w:rPr>
          <w:rStyle w:val="20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спорта, культовых объектов.</w:t>
      </w:r>
    </w:p>
    <w:p w:rsidR="00DF4FC8" w:rsidRDefault="00DF4FC8">
      <w:pPr>
        <w:pStyle w:val="a7"/>
        <w:rPr>
          <w:color w:val="auto"/>
          <w:szCs w:val="28"/>
        </w:rPr>
      </w:pPr>
    </w:p>
    <w:p w:rsidR="00DF4FC8" w:rsidRDefault="00004A5D">
      <w:pPr>
        <w:pStyle w:val="a7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зона.</w:t>
      </w:r>
    </w:p>
    <w:p w:rsidR="00DF4FC8" w:rsidRDefault="00004A5D">
      <w:pPr>
        <w:pStyle w:val="a7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DF4FC8" w:rsidRDefault="00DF4FC8">
      <w:pPr>
        <w:pStyle w:val="a7"/>
        <w:rPr>
          <w:color w:val="auto"/>
        </w:rPr>
      </w:pPr>
    </w:p>
    <w:p w:rsidR="00DF4FC8" w:rsidRDefault="00004A5D">
      <w:pPr>
        <w:pStyle w:val="a7"/>
      </w:pPr>
      <w:r>
        <w:t>Коммунально-складская зона.</w:t>
      </w:r>
    </w:p>
    <w:p w:rsidR="00DF4FC8" w:rsidRDefault="00004A5D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bCs/>
          <w:szCs w:val="28"/>
          <w:shd w:val="clear" w:color="auto" w:fill="FFFFFF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DF4FC8" w:rsidRDefault="00DF4FC8">
      <w:pPr>
        <w:pStyle w:val="a7"/>
        <w:rPr>
          <w:color w:val="auto"/>
          <w:szCs w:val="28"/>
        </w:rPr>
      </w:pPr>
    </w:p>
    <w:p w:rsidR="00DF4FC8" w:rsidRDefault="00004A5D">
      <w:pPr>
        <w:pStyle w:val="a7"/>
      </w:pPr>
      <w:r>
        <w:rPr>
          <w:szCs w:val="28"/>
          <w:lang w:eastAsia="ru-RU"/>
        </w:rPr>
        <w:t>Зона инженерной инфраструктуры.</w:t>
      </w:r>
    </w:p>
    <w:p w:rsidR="00DF4FC8" w:rsidRDefault="00004A5D">
      <w:pPr>
        <w:pStyle w:val="a7"/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DF4FC8" w:rsidRDefault="00DF4FC8">
      <w:pPr>
        <w:pStyle w:val="a7"/>
      </w:pPr>
    </w:p>
    <w:p w:rsidR="00DF4FC8" w:rsidRDefault="00004A5D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инфраструктуры.</w:t>
      </w:r>
    </w:p>
    <w:p w:rsidR="00DF4FC8" w:rsidRDefault="00004A5D">
      <w:pPr>
        <w:pStyle w:val="a7"/>
        <w:numPr>
          <w:ilvl w:val="0"/>
          <w:numId w:val="2"/>
        </w:numPr>
        <w:ind w:firstLine="567"/>
      </w:pP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автомобильного, железнодорожного, трубопроводного транспорта, </w:t>
      </w:r>
      <w:r>
        <w:rPr>
          <w:szCs w:val="28"/>
        </w:rPr>
        <w:t>дорожного сервиса, улично-дорожной сети.</w:t>
      </w:r>
    </w:p>
    <w:p w:rsidR="00DF4FC8" w:rsidRDefault="00DF4FC8">
      <w:pPr>
        <w:pStyle w:val="a7"/>
        <w:rPr>
          <w:szCs w:val="28"/>
        </w:rPr>
      </w:pPr>
    </w:p>
    <w:p w:rsidR="00950781" w:rsidRDefault="00950781">
      <w:pPr>
        <w:pStyle w:val="a7"/>
        <w:rPr>
          <w:szCs w:val="28"/>
        </w:rPr>
      </w:pPr>
    </w:p>
    <w:p w:rsidR="00950781" w:rsidRDefault="00950781">
      <w:pPr>
        <w:pStyle w:val="a7"/>
        <w:rPr>
          <w:szCs w:val="28"/>
        </w:rPr>
      </w:pPr>
    </w:p>
    <w:p w:rsidR="00DF4FC8" w:rsidRDefault="00004A5D">
      <w:pPr>
        <w:pStyle w:val="a7"/>
      </w:pPr>
      <w:r>
        <w:lastRenderedPageBreak/>
        <w:t>Зона садоводческих или огороднических некоммерческих товариществ.</w:t>
      </w:r>
    </w:p>
    <w:p w:rsidR="00DF4FC8" w:rsidRDefault="00004A5D">
      <w:pPr>
        <w:pStyle w:val="a7"/>
        <w:rPr>
          <w:szCs w:val="28"/>
        </w:rPr>
      </w:pPr>
      <w:r>
        <w:rPr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DF4FC8" w:rsidRDefault="00DF4FC8">
      <w:pPr>
        <w:pStyle w:val="a7"/>
        <w:rPr>
          <w:szCs w:val="28"/>
        </w:rPr>
      </w:pPr>
    </w:p>
    <w:p w:rsidR="00DF4FC8" w:rsidRDefault="00004A5D">
      <w:pPr>
        <w:pStyle w:val="a7"/>
      </w:pPr>
      <w:r>
        <w:t>Зоны сельскохозяйственного использования.</w:t>
      </w:r>
    </w:p>
    <w:p w:rsidR="00DF4FC8" w:rsidRDefault="00004A5D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DF4FC8" w:rsidRDefault="00DF4FC8">
      <w:pPr>
        <w:pStyle w:val="a7"/>
        <w:rPr>
          <w:szCs w:val="28"/>
        </w:rPr>
      </w:pPr>
    </w:p>
    <w:p w:rsidR="00DF4FC8" w:rsidRDefault="00004A5D">
      <w:pPr>
        <w:pStyle w:val="a7"/>
      </w:pPr>
      <w:r>
        <w:t>Производственная зона сельскохозяйственных предприятий.</w:t>
      </w:r>
    </w:p>
    <w:p w:rsidR="00DF4FC8" w:rsidRDefault="0050605D">
      <w:pPr>
        <w:pStyle w:val="a7"/>
        <w:numPr>
          <w:ilvl w:val="0"/>
          <w:numId w:val="2"/>
        </w:numPr>
        <w:ind w:firstLine="567"/>
      </w:pPr>
      <w:r>
        <w:t>Производственная зона</w:t>
      </w:r>
      <w:r w:rsidR="00004A5D">
        <w:t xml:space="preserve">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DF4FC8" w:rsidRDefault="00DF4FC8">
      <w:p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</w:p>
    <w:p w:rsidR="00DF4FC8" w:rsidRDefault="00004A5D">
      <w:pPr>
        <w:pStyle w:val="a7"/>
      </w:pPr>
      <w:r>
        <w:t>Зона лесов.</w:t>
      </w:r>
    </w:p>
    <w:p w:rsidR="00DF4FC8" w:rsidRDefault="00004A5D">
      <w:pPr>
        <w:pStyle w:val="a7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DF4FC8" w:rsidRDefault="00DF4FC8">
      <w:pPr>
        <w:pStyle w:val="a7"/>
        <w:rPr>
          <w:szCs w:val="28"/>
          <w:lang w:eastAsia="ru-RU"/>
        </w:rPr>
      </w:pPr>
    </w:p>
    <w:p w:rsidR="00DF4FC8" w:rsidRDefault="00004A5D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назначения.</w:t>
      </w:r>
    </w:p>
    <w:p w:rsidR="00DF4FC8" w:rsidRDefault="00004A5D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</w:t>
      </w:r>
      <w:r w:rsidR="003646E8">
        <w:rPr>
          <w:color w:val="auto"/>
          <w:szCs w:val="28"/>
          <w:lang w:eastAsia="ru-RU"/>
        </w:rPr>
        <w:t>яющих санитарно-защитные функции</w:t>
      </w:r>
      <w:r>
        <w:rPr>
          <w:color w:val="auto"/>
          <w:szCs w:val="28"/>
          <w:lang w:eastAsia="ru-RU"/>
        </w:rPr>
        <w:t>.</w:t>
      </w:r>
    </w:p>
    <w:p w:rsidR="00DF4FC8" w:rsidRDefault="00DF4FC8">
      <w:pPr>
        <w:pStyle w:val="a7"/>
        <w:rPr>
          <w:szCs w:val="28"/>
          <w:lang w:eastAsia="ru-RU"/>
        </w:rPr>
      </w:pPr>
    </w:p>
    <w:p w:rsidR="00DF4FC8" w:rsidRDefault="00004A5D">
      <w:pPr>
        <w:pStyle w:val="a7"/>
      </w:pPr>
      <w:r>
        <w:t>Зона кладбищ.</w:t>
      </w:r>
    </w:p>
    <w:p w:rsidR="00DF4FC8" w:rsidRDefault="00004A5D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DF4FC8" w:rsidRDefault="00DF4FC8">
      <w:pPr>
        <w:pStyle w:val="a7"/>
        <w:rPr>
          <w:color w:val="auto"/>
        </w:rPr>
      </w:pPr>
    </w:p>
    <w:p w:rsidR="00DF4FC8" w:rsidRDefault="00B17394">
      <w:pPr>
        <w:spacing w:before="0" w:after="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rFonts w:eastAsia="XO Thames;Times New Roman"/>
          <w:sz w:val="28"/>
          <w:szCs w:val="28"/>
          <w:lang w:eastAsia="ar-SA"/>
        </w:rPr>
        <w:t xml:space="preserve">Зона режимных </w:t>
      </w:r>
      <w:r w:rsidR="00004A5D">
        <w:rPr>
          <w:rFonts w:eastAsia="XO Thames;Times New Roman"/>
          <w:sz w:val="28"/>
          <w:szCs w:val="28"/>
          <w:lang w:eastAsia="ar-SA"/>
        </w:rPr>
        <w:t>территорий.</w:t>
      </w:r>
    </w:p>
    <w:p w:rsidR="00DF4FC8" w:rsidRDefault="00B17394">
      <w:pPr>
        <w:spacing w:before="0" w:after="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rFonts w:eastAsia="XO Thames;Times New Roman"/>
          <w:sz w:val="28"/>
          <w:szCs w:val="28"/>
          <w:lang w:eastAsia="ar-SA"/>
        </w:rPr>
        <w:t xml:space="preserve">Зона режимных территорий предназначена для размещения </w:t>
      </w:r>
      <w:r w:rsidR="00004A5D">
        <w:rPr>
          <w:rFonts w:eastAsia="XO Thames;Times New Roman"/>
          <w:sz w:val="28"/>
          <w:szCs w:val="28"/>
          <w:lang w:eastAsia="ar-SA"/>
        </w:rPr>
        <w:t>объектов обороны и безопасности</w:t>
      </w:r>
      <w:r w:rsidR="00004A5D">
        <w:rPr>
          <w:sz w:val="28"/>
          <w:szCs w:val="28"/>
          <w:lang w:eastAsia="ar-SA"/>
        </w:rPr>
        <w:t>.</w:t>
      </w:r>
    </w:p>
    <w:p w:rsidR="00DF4FC8" w:rsidRDefault="00DF4FC8">
      <w:pPr>
        <w:pStyle w:val="a7"/>
        <w:rPr>
          <w:color w:val="auto"/>
        </w:rPr>
      </w:pPr>
    </w:p>
    <w:p w:rsidR="00DF4FC8" w:rsidRDefault="00004A5D">
      <w:pPr>
        <w:pStyle w:val="a7"/>
        <w:rPr>
          <w:szCs w:val="28"/>
        </w:rPr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</w:rPr>
        <w:t>Шелемишевское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Скопинского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p w:rsidR="00C91BA8" w:rsidRDefault="00C91BA8">
      <w:pPr>
        <w:pStyle w:val="a7"/>
        <w:rPr>
          <w:szCs w:val="28"/>
        </w:rPr>
      </w:pPr>
    </w:p>
    <w:p w:rsidR="00C91BA8" w:rsidRDefault="00C91BA8">
      <w:pPr>
        <w:pStyle w:val="a7"/>
        <w:rPr>
          <w:szCs w:val="28"/>
        </w:rPr>
      </w:pPr>
    </w:p>
    <w:p w:rsidR="00C91BA8" w:rsidRDefault="00C91BA8">
      <w:pPr>
        <w:pStyle w:val="a7"/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DF4FC8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  <w:rPr>
                <w:lang w:val="en-US"/>
              </w:rPr>
            </w:pPr>
            <w:r>
              <w:lastRenderedPageBreak/>
              <w:t>№</w:t>
            </w:r>
          </w:p>
          <w:p w:rsidR="00DF4FC8" w:rsidRDefault="00004A5D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004A5D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DF4FC8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DF4FC8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DF4FC8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4FC8" w:rsidRDefault="00DF4FC8">
            <w:pPr>
              <w:widowControl w:val="0"/>
              <w:snapToGrid w:val="0"/>
              <w:rPr>
                <w:bCs/>
              </w:rPr>
            </w:pP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1160,62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1,57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7,67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7,61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5,05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0,56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486,87</w:t>
            </w:r>
          </w:p>
        </w:tc>
      </w:tr>
      <w:tr w:rsidR="00DF4FC8">
        <w:trPr>
          <w:trHeight w:hRule="exact" w:val="6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18,94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18832,22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10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11,01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widowControl w:val="0"/>
              <w:spacing w:before="0" w:after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2637,15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widowControl w:val="0"/>
              <w:spacing w:before="0" w:after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7,60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4,43</w:t>
            </w:r>
          </w:p>
        </w:tc>
      </w:tr>
      <w:tr w:rsidR="00DF4FC8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14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  <w:ind w:left="57"/>
              <w:jc w:val="left"/>
            </w:pPr>
            <w:r>
              <w:t>Зона режимных территорий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4FC8" w:rsidRDefault="00004A5D">
            <w:pPr>
              <w:pStyle w:val="ae"/>
              <w:widowControl w:val="0"/>
            </w:pPr>
            <w:r>
              <w:t>539,27</w:t>
            </w:r>
          </w:p>
        </w:tc>
      </w:tr>
    </w:tbl>
    <w:p w:rsidR="00DF4FC8" w:rsidRDefault="00DF4FC8">
      <w:pPr>
        <w:pStyle w:val="a7"/>
        <w:suppressLineNumbers/>
        <w:contextualSpacing/>
        <w:rPr>
          <w:szCs w:val="28"/>
        </w:rPr>
      </w:pPr>
    </w:p>
    <w:p w:rsidR="00DF4FC8" w:rsidRDefault="00004A5D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2.2.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района.</w:t>
      </w:r>
      <w:proofErr w:type="gramEnd"/>
    </w:p>
    <w:p w:rsidR="00DF4FC8" w:rsidRDefault="00DF4FC8">
      <w:pPr>
        <w:pStyle w:val="a7"/>
        <w:rPr>
          <w:color w:val="auto"/>
          <w:szCs w:val="28"/>
        </w:rPr>
      </w:pPr>
    </w:p>
    <w:p w:rsidR="00DF4FC8" w:rsidRDefault="00004A5D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Шелемишевское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Cs w:val="28"/>
          <w:u w:val="none"/>
        </w:rPr>
        <w:t>Скопинского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 w:rsidR="00DF4F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DA" w:rsidRDefault="002F58DA">
      <w:pPr>
        <w:spacing w:before="0" w:after="0"/>
      </w:pPr>
      <w:r>
        <w:separator/>
      </w:r>
    </w:p>
  </w:endnote>
  <w:endnote w:type="continuationSeparator" w:id="0">
    <w:p w:rsidR="002F58DA" w:rsidRDefault="002F58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C8" w:rsidRDefault="00DF4FC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C8" w:rsidRDefault="00DF4FC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DA" w:rsidRDefault="002F58DA">
      <w:pPr>
        <w:spacing w:before="0" w:after="0"/>
      </w:pPr>
      <w:r>
        <w:separator/>
      </w:r>
    </w:p>
  </w:footnote>
  <w:footnote w:type="continuationSeparator" w:id="0">
    <w:p w:rsidR="002F58DA" w:rsidRDefault="002F58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C8" w:rsidRDefault="00004A5D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A4591F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C8" w:rsidRDefault="00DF4FC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855"/>
    <w:multiLevelType w:val="multilevel"/>
    <w:tmpl w:val="CA689F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C822D0"/>
    <w:multiLevelType w:val="multilevel"/>
    <w:tmpl w:val="582C2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4FC8"/>
    <w:rsid w:val="00004A5D"/>
    <w:rsid w:val="002F58DA"/>
    <w:rsid w:val="003646E8"/>
    <w:rsid w:val="0050605D"/>
    <w:rsid w:val="00950781"/>
    <w:rsid w:val="00A4591F"/>
    <w:rsid w:val="00AA4FEA"/>
    <w:rsid w:val="00B17394"/>
    <w:rsid w:val="00C91BA8"/>
    <w:rsid w:val="00DF4FC8"/>
    <w:rsid w:val="00E9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6</Pages>
  <Words>1345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164</cp:revision>
  <cp:lastPrinted>2022-11-22T12:53:00Z</cp:lastPrinted>
  <dcterms:created xsi:type="dcterms:W3CDTF">2023-04-18T14:52:00Z</dcterms:created>
  <dcterms:modified xsi:type="dcterms:W3CDTF">2023-04-27T10:12:00Z</dcterms:modified>
  <dc:language>ru-RU</dc:language>
</cp:coreProperties>
</file>