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62:02:0020718:999 </w:t>
      </w:r>
      <w:r>
        <w:rPr>
          <w:rFonts w:eastAsia="Times New Roman"/>
          <w:b w:val="false"/>
          <w:i w:val="false"/>
          <w:caps w:val="false"/>
          <w:smallCaps w:val="false"/>
          <w:spacing w:val="0"/>
          <w:sz w:val="26"/>
          <w:szCs w:val="26"/>
          <w:u w:val="none"/>
          <w:lang w:eastAsia="ar-SA"/>
        </w:rPr>
        <w:t>по адресу: Российская Федерация, Рязанская область, Захаровский район, Добро-Пчельское сельское поселение, с. Остроухово, ул. Молодежная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LibreOffice/6.4.4.2$Linux_X86_64 LibreOffice_project/40$Build-2</Application>
  <Pages>2</Pages>
  <Words>664</Words>
  <Characters>5047</Characters>
  <CharactersWithSpaces>5728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2023-05-03T15:06:45Z</dcterms:modified>
  <cp:revision>100</cp:revision>
  <dc:subject/>
  <dc:title/>
</cp:coreProperties>
</file>